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ESSENTIAL FUNCTIONS, RECOVERY &amp; RESILIENCE</w:t>
      </w:r>
    </w:p>
    <w:p>
      <w:pPr>
        <w:pStyle w:val="Title"/>
      </w:pPr>
      <w:r>
        <w:t>Business Continuity Plan Template</w:t>
      </w:r>
    </w:p>
    <w:p>
      <w:pPr>
        <w:spacing w:after="320"/>
      </w:pPr>
      <w:r>
        <w:rPr>
          <w:rFonts w:ascii="Aptos" w:hAnsi="Aptos"/>
          <w:color w:val="14515E"/>
          <w:sz w:val="28"/>
        </w:rPr>
        <w:t>Prepare people, priorities, dependencies, communications, workarounds, recovery decisions, exercises, and maintenance for disruptive events.</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Operational continuity plan — not an emergency response substitute</w:t>
            </w:r>
          </w:p>
          <w:p>
            <w:pPr>
              <w:spacing w:after="0"/>
            </w:pPr>
            <w:r>
              <w:t>This template supports organizational continuity planning. It does not replace emergency services, evacuation or life-safety procedures, cybersecurity incident response, technical disaster-recovery runbooks, safeguarding protocols, insurance requirements, regulator instructions, public-health direction, or qualified professional advice.</w:t>
            </w:r>
          </w:p>
        </w:tc>
      </w:tr>
    </w:tbl>
    <w:p>
      <w:pPr>
        <w:spacing w:after="0"/>
      </w:pPr>
    </w:p>
    <w:p>
      <w:pPr>
        <w:pStyle w:val="Heading1"/>
        <w:keepNext/>
      </w:pPr>
      <w:r>
        <w:t>How to use this template</w:t>
      </w:r>
    </w:p>
    <w:p>
      <w:r>
        <w:t>Build this plan with the people who own essential functions and dependencies. Use realistic scenarios, authoritative contact and system records, and tested workarounds. Store protected copies where authorized personnel can reach them during a disruption, including when normal systems are unavailable.</w:t>
      </w:r>
    </w:p>
    <w:p>
      <w:pPr>
        <w:pStyle w:val="ListNumber"/>
        <w:spacing w:after="60"/>
      </w:pPr>
      <w:r>
        <w:t>Define plan scope, activation authority, decision rights, notification route, and relationship to emergency and incident plans.</w:t>
      </w:r>
    </w:p>
    <w:p>
      <w:pPr>
        <w:pStyle w:val="ListNumber"/>
        <w:spacing w:after="60"/>
      </w:pPr>
      <w:r>
        <w:t>Identify essential functions, minimum acceptable service, maximum tolerable disruption, recovery objectives, dependencies, and backlogs.</w:t>
      </w:r>
    </w:p>
    <w:p>
      <w:pPr>
        <w:pStyle w:val="ListNumber"/>
        <w:spacing w:after="60"/>
      </w:pPr>
      <w:r>
        <w:t>Develop continuity strategies for people, communications, facilities, technology/data, vendors, finance, records, and decision authority.</w:t>
      </w:r>
    </w:p>
    <w:p>
      <w:pPr>
        <w:pStyle w:val="ListNumber"/>
        <w:spacing w:after="60"/>
      </w:pPr>
      <w:r>
        <w:t>Document step-by-step actions for activation, stabilization, continuity operations, restoration, backlog reduction, and return to normal.</w:t>
      </w:r>
    </w:p>
    <w:p>
      <w:pPr>
        <w:pStyle w:val="ListNumber"/>
        <w:spacing w:after="60"/>
      </w:pPr>
      <w:r>
        <w:t>Exercise critical scenarios and offline contact/access methods; record gaps, owners, due dates, and retest evidence.</w:t>
      </w:r>
    </w:p>
    <w:p>
      <w:pPr>
        <w:pStyle w:val="ListNumber"/>
        <w:spacing w:after="60"/>
      </w:pPr>
      <w:r>
        <w:t>Review after material organizational, system, facility, vendor, staffing, regulatory, or risk change and after every activation or exercise.</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Planning basis</w:t>
            </w:r>
          </w:p>
          <w:p>
            <w:pPr>
              <w:spacing w:after="0"/>
            </w:pPr>
            <w:r>
              <w:t>Ready.gov describes continuity planning as preparing, defining objectives, identifying and prioritizing risks and impacts, developing strategies, defining teams/tasks, and testing. FEMA defines continuity around maintaining critical services and essential functions before, during, and after disruption. CISA highlights continuity of communications and applications when systems or data are compromised.</w:t>
            </w:r>
          </w:p>
        </w:tc>
      </w:tr>
    </w:tbl>
    <w:p>
      <w:pPr>
        <w:spacing w:after="0"/>
      </w:pPr>
    </w:p>
    <w:p>
      <w:r>
        <w:br w:type="page"/>
      </w:r>
    </w:p>
    <w:p>
      <w:pPr>
        <w:pStyle w:val="Heading1"/>
        <w:keepNext/>
      </w:pPr>
      <w:r>
        <w:t>Plan control, scope, and activation</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plan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[Legal/public name, plan title, version, and classification]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Scope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[Sites, teams, services, systems, entities, geography, and exclusions]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Plan owner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[Role/name, backup, contact, and maintenance authority]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Approval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[Executive/board/department authority, date, and next review]</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Activation authority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and alternates; thresholds and decision record]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Emergency interface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[Emergency response / evacuation / life-safety plan and command authority]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Cyber / IT interface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[Incident response and disaster-recovery plan owners and escalation]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Safeguarding / people interface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[Worker, volunteer, participant/client, youth, health, accessibility, and welfare plans]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Distribution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[Protected locations, offline copies, role access, and update method]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Exercise / review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[Last exercise, type, results, open actions, next test, and review date]</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Activation triggers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[Loss/degradation of facility, people, technology, data, utility, vendor, finance, communications, transport, authority, or supply beyond threshold]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Initial decision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[Activate full/partial plan, invoke specific workaround, relocate, suspend, or monitor]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Notification order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[Life safety/emergency services if needed, incident lead, executive, function owners, staff/volunteers, participants/clients, vendors, partners, insurer/regulator/public as authorized]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Operating period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[Duration of initial operational cycle and situation-report cadence]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Deactivation authority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authorizes transition to restoration/normal operations and records the decision]</w:t>
            </w:r>
          </w:p>
        </w:tc>
      </w:tr>
    </w:tbl>
    <w:p>
      <w:pPr>
        <w:pStyle w:val="Heading1"/>
        <w:keepNext/>
      </w:pPr>
      <w:r>
        <w:t>Continuity roles and delegations</w:t>
      </w:r>
    </w:p>
    <w:tbl>
      <w:tblPr>
        <w:tblW w:type="auto" w:w="0"/>
        <w:jc w:val="center"/>
        <w:tblLayout w:type="fixed"/>
        <w:tblLook w:firstColumn="1" w:firstRow="1" w:lastColumn="0" w:lastRow="0" w:noHBand="0" w:noVBand="1" w:val="04A0"/>
      </w:tblPr>
      <w:tblGrid>
        <w:gridCol w:w="1656"/>
        <w:gridCol w:w="1296"/>
        <w:gridCol w:w="1296"/>
        <w:gridCol w:w="1296"/>
        <w:gridCol w:w="1944"/>
        <w:gridCol w:w="1728"/>
        <w:gridCol w:w="1728"/>
      </w:tblGrid>
      <w:tr>
        <w:trPr>
          <w:tblHeader w:val="true"/>
        </w:trPr>
        <w:tc>
          <w:tcPr>
            <w:tcW w:type="dxa" w:w="1656"/>
            <w:shd w:fill="0A222D"/>
            <w:tcMar>
              <w:top w:w="100" w:type="dxa"/>
              <w:start w:w="120" w:type="dxa"/>
              <w:bottom w:w="100" w:type="dxa"/>
              <w:end w:w="120" w:type="dxa"/>
            </w:tcMar>
          </w:tcPr>
          <w:p>
            <w:r>
              <w:rPr>
                <w:b/>
                <w:color w:val="FFFFFF"/>
                <w:sz w:val="18"/>
              </w:rPr>
              <w:t>Role</w:t>
            </w:r>
          </w:p>
        </w:tc>
        <w:tc>
          <w:tcPr>
            <w:tcW w:type="dxa" w:w="1296"/>
            <w:shd w:fill="0A222D"/>
            <w:tcMar>
              <w:top w:w="100" w:type="dxa"/>
              <w:start w:w="120" w:type="dxa"/>
              <w:bottom w:w="100" w:type="dxa"/>
              <w:end w:w="120" w:type="dxa"/>
            </w:tcMar>
          </w:tcPr>
          <w:p>
            <w:r>
              <w:rPr>
                <w:b/>
                <w:color w:val="FFFFFF"/>
                <w:sz w:val="18"/>
              </w:rPr>
              <w:t>Primary</w:t>
            </w:r>
          </w:p>
        </w:tc>
        <w:tc>
          <w:tcPr>
            <w:tcW w:type="dxa" w:w="1296"/>
            <w:shd w:fill="0A222D"/>
            <w:tcMar>
              <w:top w:w="100" w:type="dxa"/>
              <w:start w:w="120" w:type="dxa"/>
              <w:bottom w:w="100" w:type="dxa"/>
              <w:end w:w="120" w:type="dxa"/>
            </w:tcMar>
          </w:tcPr>
          <w:p>
            <w:r>
              <w:rPr>
                <w:b/>
                <w:color w:val="FFFFFF"/>
                <w:sz w:val="18"/>
              </w:rPr>
              <w:t>Alt 1</w:t>
            </w:r>
          </w:p>
        </w:tc>
        <w:tc>
          <w:tcPr>
            <w:tcW w:type="dxa" w:w="1296"/>
            <w:shd w:fill="0A222D"/>
            <w:tcMar>
              <w:top w:w="100" w:type="dxa"/>
              <w:start w:w="120" w:type="dxa"/>
              <w:bottom w:w="100" w:type="dxa"/>
              <w:end w:w="120" w:type="dxa"/>
            </w:tcMar>
          </w:tcPr>
          <w:p>
            <w:r>
              <w:rPr>
                <w:b/>
                <w:color w:val="FFFFFF"/>
                <w:sz w:val="18"/>
              </w:rPr>
              <w:t>Alt 2</w:t>
            </w:r>
          </w:p>
        </w:tc>
        <w:tc>
          <w:tcPr>
            <w:tcW w:type="dxa" w:w="1944"/>
            <w:shd w:fill="0A222D"/>
            <w:tcMar>
              <w:top w:w="100" w:type="dxa"/>
              <w:start w:w="120" w:type="dxa"/>
              <w:bottom w:w="100" w:type="dxa"/>
              <w:end w:w="120" w:type="dxa"/>
            </w:tcMar>
          </w:tcPr>
          <w:p>
            <w:r>
              <w:rPr>
                <w:b/>
                <w:color w:val="FFFFFF"/>
                <w:sz w:val="18"/>
              </w:rPr>
              <w:t>Authority</w:t>
            </w:r>
          </w:p>
        </w:tc>
        <w:tc>
          <w:tcPr>
            <w:tcW w:type="dxa" w:w="1728"/>
            <w:shd w:fill="0A222D"/>
            <w:tcMar>
              <w:top w:w="100" w:type="dxa"/>
              <w:start w:w="120" w:type="dxa"/>
              <w:bottom w:w="100" w:type="dxa"/>
              <w:end w:w="120" w:type="dxa"/>
            </w:tcMar>
          </w:tcPr>
          <w:p>
            <w:r>
              <w:rPr>
                <w:b/>
                <w:color w:val="FFFFFF"/>
                <w:sz w:val="18"/>
              </w:rPr>
              <w:t>Contact</w:t>
            </w:r>
          </w:p>
        </w:tc>
        <w:tc>
          <w:tcPr>
            <w:tcW w:type="dxa" w:w="1728"/>
            <w:shd w:fill="0A222D"/>
            <w:tcMar>
              <w:top w:w="100" w:type="dxa"/>
              <w:start w:w="120" w:type="dxa"/>
              <w:bottom w:w="100" w:type="dxa"/>
              <w:end w:w="120" w:type="dxa"/>
            </w:tcMar>
          </w:tcPr>
          <w:p>
            <w:r>
              <w:rPr>
                <w:b/>
                <w:color w:val="FFFFFF"/>
                <w:sz w:val="18"/>
              </w:rPr>
              <w:t>First task</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[Role]</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[First alternate]</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[Second alternate]</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[Authority / decisions]</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[Protected contact location]</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[Activation task]</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Incident / continuity lead</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Executive authority</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People / welfare lead</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Operations / program lead</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Technology / data lead</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Communications lead</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Finance / procurement lead</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Essential functions and business-impact analysis</w:t>
      </w:r>
    </w:p>
    <w:tbl>
      <w:tblPr>
        <w:tblW w:type="auto" w:w="0"/>
        <w:jc w:val="center"/>
        <w:tblLayout w:type="fixed"/>
        <w:tblLook w:firstColumn="1" w:firstRow="1" w:lastColumn="0" w:lastRow="0" w:noHBand="0" w:noVBand="1" w:val="04A0"/>
      </w:tblPr>
      <w:tblGrid>
        <w:gridCol w:w="792"/>
        <w:gridCol w:w="1872"/>
        <w:gridCol w:w="1512"/>
        <w:gridCol w:w="1584"/>
        <w:gridCol w:w="1656"/>
        <w:gridCol w:w="1440"/>
        <w:gridCol w:w="1296"/>
        <w:gridCol w:w="1440"/>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1872"/>
            <w:shd w:fill="0A222D"/>
            <w:tcMar>
              <w:top w:w="100" w:type="dxa"/>
              <w:start w:w="120" w:type="dxa"/>
              <w:bottom w:w="100" w:type="dxa"/>
              <w:end w:w="120" w:type="dxa"/>
            </w:tcMar>
          </w:tcPr>
          <w:p>
            <w:r>
              <w:rPr>
                <w:b/>
                <w:color w:val="FFFFFF"/>
                <w:sz w:val="18"/>
              </w:rPr>
              <w:t>Function</w:t>
            </w:r>
          </w:p>
        </w:tc>
        <w:tc>
          <w:tcPr>
            <w:tcW w:type="dxa" w:w="1512"/>
            <w:shd w:fill="0A222D"/>
            <w:tcMar>
              <w:top w:w="100" w:type="dxa"/>
              <w:start w:w="120" w:type="dxa"/>
              <w:bottom w:w="100" w:type="dxa"/>
              <w:end w:w="120" w:type="dxa"/>
            </w:tcMar>
          </w:tcPr>
          <w:p>
            <w:r>
              <w:rPr>
                <w:b/>
                <w:color w:val="FFFFFF"/>
                <w:sz w:val="18"/>
              </w:rPr>
              <w:t>Owner</w:t>
            </w:r>
          </w:p>
        </w:tc>
        <w:tc>
          <w:tcPr>
            <w:tcW w:type="dxa" w:w="1584"/>
            <w:shd w:fill="0A222D"/>
            <w:tcMar>
              <w:top w:w="100" w:type="dxa"/>
              <w:start w:w="120" w:type="dxa"/>
              <w:bottom w:w="100" w:type="dxa"/>
              <w:end w:w="120" w:type="dxa"/>
            </w:tcMar>
          </w:tcPr>
          <w:p>
            <w:r>
              <w:rPr>
                <w:b/>
                <w:color w:val="FFFFFF"/>
                <w:sz w:val="18"/>
              </w:rPr>
              <w:t>Dependent</w:t>
            </w:r>
          </w:p>
        </w:tc>
        <w:tc>
          <w:tcPr>
            <w:tcW w:type="dxa" w:w="1656"/>
            <w:shd w:fill="0A222D"/>
            <w:tcMar>
              <w:top w:w="100" w:type="dxa"/>
              <w:start w:w="120" w:type="dxa"/>
              <w:bottom w:w="100" w:type="dxa"/>
              <w:end w:w="120" w:type="dxa"/>
            </w:tcMar>
          </w:tcPr>
          <w:p>
            <w:r>
              <w:rPr>
                <w:b/>
                <w:color w:val="FFFFFF"/>
                <w:sz w:val="18"/>
              </w:rPr>
              <w:t>Minimum</w:t>
            </w:r>
          </w:p>
        </w:tc>
        <w:tc>
          <w:tcPr>
            <w:tcW w:type="dxa" w:w="1440"/>
            <w:shd w:fill="0A222D"/>
            <w:tcMar>
              <w:top w:w="100" w:type="dxa"/>
              <w:start w:w="120" w:type="dxa"/>
              <w:bottom w:w="100" w:type="dxa"/>
              <w:end w:w="120" w:type="dxa"/>
            </w:tcMar>
          </w:tcPr>
          <w:p>
            <w:r>
              <w:rPr>
                <w:b/>
                <w:color w:val="FFFFFF"/>
                <w:sz w:val="18"/>
              </w:rPr>
              <w:t>MTD</w:t>
            </w:r>
          </w:p>
        </w:tc>
        <w:tc>
          <w:tcPr>
            <w:tcW w:type="dxa" w:w="1296"/>
            <w:shd w:fill="0A222D"/>
            <w:tcMar>
              <w:top w:w="100" w:type="dxa"/>
              <w:start w:w="120" w:type="dxa"/>
              <w:bottom w:w="100" w:type="dxa"/>
              <w:end w:w="120" w:type="dxa"/>
            </w:tcMar>
          </w:tcPr>
          <w:p>
            <w:r>
              <w:rPr>
                <w:b/>
                <w:color w:val="FFFFFF"/>
                <w:sz w:val="18"/>
              </w:rPr>
              <w:t>RTO</w:t>
            </w:r>
          </w:p>
        </w:tc>
        <w:tc>
          <w:tcPr>
            <w:tcW w:type="dxa" w:w="1440"/>
            <w:shd w:fill="0A222D"/>
            <w:tcMar>
              <w:top w:w="100" w:type="dxa"/>
              <w:start w:w="120" w:type="dxa"/>
              <w:bottom w:w="100" w:type="dxa"/>
              <w:end w:w="120" w:type="dxa"/>
            </w:tcMar>
          </w:tcPr>
          <w:p>
            <w:r>
              <w:rPr>
                <w:b/>
                <w:color w:val="FFFFFF"/>
                <w:sz w:val="18"/>
              </w:rPr>
              <w:t>RPO</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[EF-01]</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[Essential function / service]</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 / alternates]</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[Who depends on it]</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[Minimum service level]</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[Maximum tolerable disruption]</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[Recovery time objective]</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[Recovery point / data tolerance]</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[EF-02]</w:t>
            </w:r>
          </w:p>
        </w:tc>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xml:space="preserve"> [EF-03]</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Peak / critical timing</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[Deadline, season, payroll, grant/reporting, enrollment, service cycle, event, renewal, or regulatory timing]</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Upstream inputs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[People, data, system, facility, vendor, utility, inventory, partner, authorization, or cash]</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Downstream effect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[Participant/client, employee, funder, partner, public, legal, financial, or reputation consequence]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Backlog tolerance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[Maximum backlog and recovery rate needed]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Manual / alternate method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[Documented workaround, minimum equipment, training, control, and duration]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Restart sequence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[Dependencies and decision gates before resumption]</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Define time objectives carefully</w:t>
            </w:r>
          </w:p>
          <w:p>
            <w:pPr>
              <w:spacing w:after="0"/>
            </w:pPr>
            <w:r>
              <w:t>Maximum tolerable disruption, recovery time, and recovery point are planning targets—not promises. Function, technology, vendor, facility, finance, and people owners should verify that strategies can actually meet them.</w:t>
            </w:r>
          </w:p>
        </w:tc>
      </w:tr>
    </w:tbl>
    <w:p>
      <w:pPr>
        <w:spacing w:after="0"/>
      </w:pPr>
    </w:p>
    <w:p>
      <w:pPr>
        <w:pStyle w:val="Heading1"/>
        <w:keepNext/>
      </w:pPr>
      <w:r>
        <w:t>Dependency and single-point-of-failure register</w:t>
      </w:r>
    </w:p>
    <w:tbl>
      <w:tblPr>
        <w:tblW w:type="auto" w:w="0"/>
        <w:jc w:val="center"/>
        <w:tblLayout w:type="fixed"/>
        <w:tblLook w:firstColumn="1" w:firstRow="1" w:lastColumn="0" w:lastRow="0" w:noHBand="0" w:noVBand="1" w:val="04A0"/>
      </w:tblPr>
      <w:tblGrid>
        <w:gridCol w:w="864"/>
        <w:gridCol w:w="1440"/>
        <w:gridCol w:w="1800"/>
        <w:gridCol w:w="1800"/>
        <w:gridCol w:w="1584"/>
        <w:gridCol w:w="1728"/>
        <w:gridCol w:w="1800"/>
        <w:gridCol w:w="1584"/>
      </w:tblGrid>
      <w:tr>
        <w:trPr>
          <w:tblHeader w:val="true"/>
        </w:trPr>
        <w:tc>
          <w:tcPr>
            <w:tcW w:type="dxa" w:w="864"/>
            <w:shd w:fill="0A222D"/>
            <w:tcMar>
              <w:top w:w="100" w:type="dxa"/>
              <w:start w:w="120" w:type="dxa"/>
              <w:bottom w:w="100" w:type="dxa"/>
              <w:end w:w="120" w:type="dxa"/>
            </w:tcMar>
          </w:tcPr>
          <w:p>
            <w:r>
              <w:rPr>
                <w:b/>
                <w:color w:val="FFFFFF"/>
                <w:sz w:val="18"/>
              </w:rPr>
              <w:t>ID</w:t>
            </w:r>
          </w:p>
        </w:tc>
        <w:tc>
          <w:tcPr>
            <w:tcW w:type="dxa" w:w="1440"/>
            <w:shd w:fill="0A222D"/>
            <w:tcMar>
              <w:top w:w="100" w:type="dxa"/>
              <w:start w:w="120" w:type="dxa"/>
              <w:bottom w:w="100" w:type="dxa"/>
              <w:end w:w="120" w:type="dxa"/>
            </w:tcMar>
          </w:tcPr>
          <w:p>
            <w:r>
              <w:rPr>
                <w:b/>
                <w:color w:val="FFFFFF"/>
                <w:sz w:val="18"/>
              </w:rPr>
              <w:t>Function</w:t>
            </w:r>
          </w:p>
        </w:tc>
        <w:tc>
          <w:tcPr>
            <w:tcW w:type="dxa" w:w="1800"/>
            <w:shd w:fill="0A222D"/>
            <w:tcMar>
              <w:top w:w="100" w:type="dxa"/>
              <w:start w:w="120" w:type="dxa"/>
              <w:bottom w:w="100" w:type="dxa"/>
              <w:end w:w="120" w:type="dxa"/>
            </w:tcMar>
          </w:tcPr>
          <w:p>
            <w:r>
              <w:rPr>
                <w:b/>
                <w:color w:val="FFFFFF"/>
                <w:sz w:val="18"/>
              </w:rPr>
              <w:t>Type</w:t>
            </w:r>
          </w:p>
        </w:tc>
        <w:tc>
          <w:tcPr>
            <w:tcW w:type="dxa" w:w="1800"/>
            <w:shd w:fill="0A222D"/>
            <w:tcMar>
              <w:top w:w="100" w:type="dxa"/>
              <w:start w:w="120" w:type="dxa"/>
              <w:bottom w:w="100" w:type="dxa"/>
              <w:end w:w="120" w:type="dxa"/>
            </w:tcMar>
          </w:tcPr>
          <w:p>
            <w:r>
              <w:rPr>
                <w:b/>
                <w:color w:val="FFFFFF"/>
                <w:sz w:val="18"/>
              </w:rPr>
              <w:t>Dependency</w:t>
            </w:r>
          </w:p>
        </w:tc>
        <w:tc>
          <w:tcPr>
            <w:tcW w:type="dxa" w:w="1584"/>
            <w:shd w:fill="0A222D"/>
            <w:tcMar>
              <w:top w:w="100" w:type="dxa"/>
              <w:start w:w="120" w:type="dxa"/>
              <w:bottom w:w="100" w:type="dxa"/>
              <w:end w:w="120" w:type="dxa"/>
            </w:tcMar>
          </w:tcPr>
          <w:p>
            <w:r>
              <w:rPr>
                <w:b/>
                <w:color w:val="FFFFFF"/>
                <w:sz w:val="18"/>
              </w:rPr>
              <w:t>Failure</w:t>
            </w:r>
          </w:p>
        </w:tc>
        <w:tc>
          <w:tcPr>
            <w:tcW w:type="dxa" w:w="1728"/>
            <w:shd w:fill="0A222D"/>
            <w:tcMar>
              <w:top w:w="100" w:type="dxa"/>
              <w:start w:w="120" w:type="dxa"/>
              <w:bottom w:w="100" w:type="dxa"/>
              <w:end w:w="120" w:type="dxa"/>
            </w:tcMar>
          </w:tcPr>
          <w:p>
            <w:r>
              <w:rPr>
                <w:b/>
                <w:color w:val="FFFFFF"/>
                <w:sz w:val="18"/>
              </w:rPr>
              <w:t>Safeguard</w:t>
            </w:r>
          </w:p>
        </w:tc>
        <w:tc>
          <w:tcPr>
            <w:tcW w:type="dxa" w:w="1800"/>
            <w:shd w:fill="0A222D"/>
            <w:tcMar>
              <w:top w:w="100" w:type="dxa"/>
              <w:start w:w="120" w:type="dxa"/>
              <w:bottom w:w="100" w:type="dxa"/>
              <w:end w:w="120" w:type="dxa"/>
            </w:tcMar>
          </w:tcPr>
          <w:p>
            <w:r>
              <w:rPr>
                <w:b/>
                <w:color w:val="FFFFFF"/>
                <w:sz w:val="18"/>
              </w:rPr>
              <w:t>Fallback</w:t>
            </w:r>
          </w:p>
        </w:tc>
        <w:tc>
          <w:tcPr>
            <w:tcW w:type="dxa" w:w="1584"/>
            <w:shd w:fill="0A222D"/>
            <w:tcMar>
              <w:top w:w="100" w:type="dxa"/>
              <w:start w:w="120" w:type="dxa"/>
              <w:bottom w:w="100" w:type="dxa"/>
              <w:end w:w="120" w:type="dxa"/>
            </w:tcMar>
          </w:tcPr>
          <w:p>
            <w:r>
              <w:rPr>
                <w:b/>
                <w:color w:val="FFFFFF"/>
                <w:sz w:val="18"/>
              </w:rPr>
              <w:t>Gap</w:t>
            </w:r>
          </w:p>
        </w:tc>
      </w:tr>
      <w:tr>
        <w:trPr>
          <w:cantSplit/>
        </w:trPr>
        <w:tc>
          <w:tcPr>
            <w:tcW w:type="dxa" w:w="86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[DEP-01]</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[Function]</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[People / system / data / facility / vendor / utility / finance / authority]</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[Dependency]</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[Failure mode]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[Current safeguard]</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[Fallback / alternate]</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[Gap / owner]</w:t>
            </w:r>
          </w:p>
        </w:tc>
      </w:tr>
      <w:tr>
        <w:trPr>
          <w:cantSplit/>
        </w:trPr>
        <w:tc>
          <w:tcPr>
            <w:tcW w:type="dxa" w:w="86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[DEP-02]</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86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xml:space="preserve"> [DEP-03]</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Scenario planning</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Scenario</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[Plausible event with time, place, duration, scale, and conditions]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Early indicators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[Warnings, monitoring source, threshold, and owner]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Immediate impacts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[People, service, technology/data, facility, vendor, finance, communications, legal, or reputation]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Compounding conditions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[Concurrent absence, weather, cyber issue, vendor outage, transport, public concern, or cash constraint]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Activation threshold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[Objective condition and authority]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Minimum operating posture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[Functions maintained, suspended, transferred, or reduced]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Decision points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[Time-based or evidence-based choices and authority]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Recovery benchmark</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[Expected capability at hours, days, weeks, or other relevant intervals]</w:t>
            </w:r>
          </w:p>
        </w:tc>
      </w:tr>
    </w:tbl>
    <w:p>
      <w:r>
        <w:br w:type="page"/>
      </w:r>
    </w:p>
    <w:p>
      <w:pPr>
        <w:pStyle w:val="Heading1"/>
        <w:keepNext/>
      </w:pPr>
      <w:r>
        <w:t>Continuity strategies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People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[Cross-training, alternate staffing, remote/on-site coverage, welfare checks, accessibility/accommodation, payroll/benefits, contractor/volunteer boundaries]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Leadership / authority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[Delegations, succession, emergency spending/procurement, signatures, approvals, board/funder/partner interface]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Facilities / utilities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[Alternate workspace, remote work, access, power, water, HVAC, physical security, equipment, mail, and records]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Technology / applications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[Approved alternate systems, emergency accounts/devices, offline copies, identity/access, support, and linkage to technical recovery runbooks]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Data / records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[Authoritative source, backup/restore ownership, recovery point, integrity check, sensitive-data handling, retention, and return/deletion]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Communications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[Alternate staff/customer/vendor channels, call tree, status page, spokesperson, accessibility/language, rumor control, and records]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Vendors / supply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[Alternate suppliers, contracts, contacts, inventory, lead times, substitutions, logistics, and financial authority]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Finance / administration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[Cash visibility, payroll, receivables, emergency purchasing, cards/accounts, insurance notice, grant/contract obligations, and fraud controls]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Programs / customer service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[Triage, prioritization, waitlist/backlog, referral, service suspension, remote/manual method, quality, consent, safeguarding, and restoration]</w:t>
            </w:r>
          </w:p>
        </w:tc>
      </w:tr>
    </w:tbl>
    <w:p>
      <w:pPr>
        <w:pStyle w:val="Heading1"/>
        <w:keepNext/>
      </w:pPr>
      <w:r>
        <w:t>Activation and first operational period</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0–15 minutes / immediate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[Protect life and safety; call emergency services or activate emergency plan when required. Establish incident leadership and secure immediate hazards.]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15–60 minutes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[Confirm disruption scope, essential functions affected, system/data integrity concerns, personnel status, activation decision, and protected incident record.]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1–4 hours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[Set operating priorities; notify function owners; activate communications and approved workarounds; engage vendors/insurer/regulator as authorized.]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4–24 hours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[Stabilize minimum service; record decisions, costs, issues, data/manual transactions, welfare needs, and dependency failures; issue situation updates.]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24–72 hours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[Reassess strategy, staffing, backlog, cash, external support, recovery estimates, and transition/restoration decision.]</w:t>
            </w:r>
          </w:p>
        </w:tc>
      </w:tr>
    </w:tbl>
    <w:p>
      <w:pPr>
        <w:pStyle w:val="Heading1"/>
        <w:keepNext/>
      </w:pPr>
      <w:r>
        <w:t>Situation report</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Time / period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Situation summary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[Known facts, unknowns, source confidence, and changes]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People / safety / welfare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Essential functions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[Operating / degraded / suspended and minimum capability]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Technology / data</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[Availability, integrity, workaround, and recovery estimate]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Facilities / vendors / finance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Decisions / authority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Actions / owner / due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Next update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Crisis and continuity communications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Audience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[Staff/volunteers, participants/clients, families, board, funders, vendors, partners, media/public, regulator, insurer]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Information need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is known, service effect, safety/action, alternate route, timing, support, and next update]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 alternate channel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[Approved channel and fallback when normal systems are unavailable or untrusted]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Message approval</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 legal/privacy/safeguarding/incident review, and emergency exception]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Spokesperson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and alternate]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Accessibility / language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[Format, captioning, interpretation/translation, plain language, device/connection, and contact alternative]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Privacy / security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[Minimum necessary information; no speculation, sensitive details, credentials, or unsafe instructions]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Rumor / feedback monitoring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[Channel, owner, correction route, and record]</w:t>
            </w:r>
          </w:p>
        </w:tc>
      </w:tr>
    </w:tbl>
    <w:p>
      <w:pPr>
        <w:pStyle w:val="Heading1"/>
        <w:keepNext/>
      </w:pPr>
      <w:r>
        <w:t>Technology, data, and cyber continuity interface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Critical application / service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 owner, vendor, support, function, RTO/RPO, dependencies, alternate method]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Identity and access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[Emergency access, MFA, privileged accounts, break-glass control, joiner/mover/leaver, lost device, and recovery contact]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Backup / restore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 scope, frequency, location, immutability/offline status, test date, integrity verification, and runbook]</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Continuity of communications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[Alternate email/chat/phone/status method when normal identity or systems are unavailable]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Continuity of applications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[Clean/alternate devices, minimal applications, data synchronization, integrity checks, and safe transition]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Manual transactions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[Numbering, approval, sensitive-data limit, custody, reconciliation, and secure disposal]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Incident response handoff</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[Cyber lead, isolation/containment authority, evidence, insurer/legal/regulator route, and decision to invoke continuity]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Return to normal</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[Security validation, restore/source decision, backlog reconciliation, access review, monitoring, and approval]</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Do not improvise during a suspected cyber incident</w:t>
            </w:r>
          </w:p>
          <w:p>
            <w:pPr>
              <w:spacing w:after="0"/>
            </w:pPr>
            <w:r>
              <w:t>Follow the approved incident-response and technical recovery procedures. Using untrusted systems, reconnecting devices, restoring data, communicating externally, paying a demand, or preserving evidence may require specialist, legal, insurer, and law-enforcement coordination.</w:t>
            </w:r>
          </w:p>
        </w:tc>
      </w:tr>
    </w:tbl>
    <w:p>
      <w:pPr>
        <w:spacing w:after="0"/>
      </w:pPr>
    </w:p>
    <w:p>
      <w:pPr>
        <w:pStyle w:val="Heading1"/>
        <w:keepNext/>
      </w:pPr>
      <w:r>
        <w:t>Critical vendor and partner continuity</w:t>
      </w:r>
    </w:p>
    <w:tbl>
      <w:tblPr>
        <w:tblW w:type="auto" w:w="0"/>
        <w:jc w:val="center"/>
        <w:tblLayout w:type="fixed"/>
        <w:tblLook w:firstColumn="1" w:firstRow="1" w:lastColumn="0" w:lastRow="0" w:noHBand="0" w:noVBand="1" w:val="04A0"/>
      </w:tblPr>
      <w:tblGrid>
        <w:gridCol w:w="792"/>
        <w:gridCol w:w="1728"/>
        <w:gridCol w:w="1728"/>
        <w:gridCol w:w="1800"/>
        <w:gridCol w:w="1728"/>
        <w:gridCol w:w="1728"/>
        <w:gridCol w:w="1800"/>
        <w:gridCol w:w="1440"/>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1728"/>
            <w:shd w:fill="0A222D"/>
            <w:tcMar>
              <w:top w:w="100" w:type="dxa"/>
              <w:start w:w="120" w:type="dxa"/>
              <w:bottom w:w="100" w:type="dxa"/>
              <w:end w:w="120" w:type="dxa"/>
            </w:tcMar>
          </w:tcPr>
          <w:p>
            <w:r>
              <w:rPr>
                <w:b/>
                <w:color w:val="FFFFFF"/>
                <w:sz w:val="18"/>
              </w:rPr>
              <w:t>Provider</w:t>
            </w:r>
          </w:p>
        </w:tc>
        <w:tc>
          <w:tcPr>
            <w:tcW w:type="dxa" w:w="1728"/>
            <w:shd w:fill="0A222D"/>
            <w:tcMar>
              <w:top w:w="100" w:type="dxa"/>
              <w:start w:w="120" w:type="dxa"/>
              <w:bottom w:w="100" w:type="dxa"/>
              <w:end w:w="120" w:type="dxa"/>
            </w:tcMar>
          </w:tcPr>
          <w:p>
            <w:r>
              <w:rPr>
                <w:b/>
                <w:color w:val="FFFFFF"/>
                <w:sz w:val="18"/>
              </w:rPr>
              <w:t>Service</w:t>
            </w:r>
          </w:p>
        </w:tc>
        <w:tc>
          <w:tcPr>
            <w:tcW w:type="dxa" w:w="1800"/>
            <w:shd w:fill="0A222D"/>
            <w:tcMar>
              <w:top w:w="100" w:type="dxa"/>
              <w:start w:w="120" w:type="dxa"/>
              <w:bottom w:w="100" w:type="dxa"/>
              <w:end w:w="120" w:type="dxa"/>
            </w:tcMar>
          </w:tcPr>
          <w:p>
            <w:r>
              <w:rPr>
                <w:b/>
                <w:color w:val="FFFFFF"/>
                <w:sz w:val="18"/>
              </w:rPr>
              <w:t>Contact</w:t>
            </w:r>
          </w:p>
        </w:tc>
        <w:tc>
          <w:tcPr>
            <w:tcW w:type="dxa" w:w="1728"/>
            <w:shd w:fill="0A222D"/>
            <w:tcMar>
              <w:top w:w="100" w:type="dxa"/>
              <w:start w:w="120" w:type="dxa"/>
              <w:bottom w:w="100" w:type="dxa"/>
              <w:end w:w="120" w:type="dxa"/>
            </w:tcMar>
          </w:tcPr>
          <w:p>
            <w:r>
              <w:rPr>
                <w:b/>
                <w:color w:val="FFFFFF"/>
                <w:sz w:val="18"/>
              </w:rPr>
              <w:t>Terms</w:t>
            </w:r>
          </w:p>
        </w:tc>
        <w:tc>
          <w:tcPr>
            <w:tcW w:type="dxa" w:w="1728"/>
            <w:shd w:fill="0A222D"/>
            <w:tcMar>
              <w:top w:w="100" w:type="dxa"/>
              <w:start w:w="120" w:type="dxa"/>
              <w:bottom w:w="100" w:type="dxa"/>
              <w:end w:w="120" w:type="dxa"/>
            </w:tcMar>
          </w:tcPr>
          <w:p>
            <w:r>
              <w:rPr>
                <w:b/>
                <w:color w:val="FFFFFF"/>
                <w:sz w:val="18"/>
              </w:rPr>
              <w:t>Trigger</w:t>
            </w:r>
          </w:p>
        </w:tc>
        <w:tc>
          <w:tcPr>
            <w:tcW w:type="dxa" w:w="1800"/>
            <w:shd w:fill="0A222D"/>
            <w:tcMar>
              <w:top w:w="100" w:type="dxa"/>
              <w:start w:w="120" w:type="dxa"/>
              <w:bottom w:w="100" w:type="dxa"/>
              <w:end w:w="120" w:type="dxa"/>
            </w:tcMar>
          </w:tcPr>
          <w:p>
            <w:r>
              <w:rPr>
                <w:b/>
                <w:color w:val="FFFFFF"/>
                <w:sz w:val="18"/>
              </w:rPr>
              <w:t>Alternate</w:t>
            </w:r>
          </w:p>
        </w:tc>
        <w:tc>
          <w:tcPr>
            <w:tcW w:type="dxa" w:w="1440"/>
            <w:shd w:fill="0A222D"/>
            <w:tcMar>
              <w:top w:w="100" w:type="dxa"/>
              <w:start w:w="120" w:type="dxa"/>
              <w:bottom w:w="100" w:type="dxa"/>
              <w:end w:w="120" w:type="dxa"/>
            </w:tcMar>
          </w:tcPr>
          <w:p>
            <w:r>
              <w:rPr>
                <w:b/>
                <w:color w:val="FFFFFF"/>
                <w:sz w:val="18"/>
              </w:rPr>
              <w:t>Owner</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[V-01]</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[Vendor / partner]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[Service / function]</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 emergency contact]</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[Contract / SLA / notice]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[Failure indicators]</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[Alternate / substitution]</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 / test]</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[V-02]</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Restoration, reconstitution, and backlog</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Restoration criteria</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[Safety, facility, system/data integrity, staffing, vendor, finance, legal, and service conditions required]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Authority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[Who authorizes staged/full return and records the decision]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Sequence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[Functions/systems restored in dependency order with verification gates]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Data reconciliation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[Manual/alternate records, duplicates, approvals, timestamps, financial transactions, privacy, and exception handling]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Backlog plan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[Prioritization, surge capacity, quality control, communication, and completion forecast]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Access / asset reset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[Emergency access revoked, credentials/keys/cards returned, temporary vendors/accounts closed]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Stakeholder closeout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[Final status, service restoration, required report/notice, apology/correction, support, and contact]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After-action review</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occurred, what worked, impacts/costs, control gaps, owners, due dates, retest, and policy/plan changes]</w:t>
            </w:r>
          </w:p>
        </w:tc>
      </w:tr>
    </w:tbl>
    <w:p>
      <w:r>
        <w:br w:type="page"/>
      </w:r>
    </w:p>
    <w:p>
      <w:pPr>
        <w:pStyle w:val="Heading1"/>
        <w:keepNext/>
      </w:pPr>
      <w:r>
        <w:t>Exercises, maintenance, and improvement</w:t>
      </w:r>
    </w:p>
    <w:tbl>
      <w:tblPr>
        <w:tblW w:type="auto" w:w="0"/>
        <w:jc w:val="center"/>
        <w:tblLayout w:type="fixed"/>
        <w:tblLook w:firstColumn="1" w:firstRow="1" w:lastColumn="0" w:lastRow="0" w:noHBand="0" w:noVBand="1" w:val="04A0"/>
      </w:tblPr>
      <w:tblGrid>
        <w:gridCol w:w="792"/>
        <w:gridCol w:w="1656"/>
        <w:gridCol w:w="1584"/>
        <w:gridCol w:w="1656"/>
        <w:gridCol w:w="1440"/>
        <w:gridCol w:w="1800"/>
        <w:gridCol w:w="1800"/>
        <w:gridCol w:w="1152"/>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1656"/>
            <w:shd w:fill="0A222D"/>
            <w:tcMar>
              <w:top w:w="100" w:type="dxa"/>
              <w:start w:w="120" w:type="dxa"/>
              <w:bottom w:w="100" w:type="dxa"/>
              <w:end w:w="120" w:type="dxa"/>
            </w:tcMar>
          </w:tcPr>
          <w:p>
            <w:r>
              <w:rPr>
                <w:b/>
                <w:color w:val="FFFFFF"/>
                <w:sz w:val="18"/>
              </w:rPr>
              <w:t>Type</w:t>
            </w:r>
          </w:p>
        </w:tc>
        <w:tc>
          <w:tcPr>
            <w:tcW w:type="dxa" w:w="1584"/>
            <w:shd w:fill="0A222D"/>
            <w:tcMar>
              <w:top w:w="100" w:type="dxa"/>
              <w:start w:w="120" w:type="dxa"/>
              <w:bottom w:w="100" w:type="dxa"/>
              <w:end w:w="120" w:type="dxa"/>
            </w:tcMar>
          </w:tcPr>
          <w:p>
            <w:r>
              <w:rPr>
                <w:b/>
                <w:color w:val="FFFFFF"/>
                <w:sz w:val="18"/>
              </w:rPr>
              <w:t>Scope</w:t>
            </w:r>
          </w:p>
        </w:tc>
        <w:tc>
          <w:tcPr>
            <w:tcW w:type="dxa" w:w="1656"/>
            <w:shd w:fill="0A222D"/>
            <w:tcMar>
              <w:top w:w="100" w:type="dxa"/>
              <w:start w:w="120" w:type="dxa"/>
              <w:bottom w:w="100" w:type="dxa"/>
              <w:end w:w="120" w:type="dxa"/>
            </w:tcMar>
          </w:tcPr>
          <w:p>
            <w:r>
              <w:rPr>
                <w:b/>
                <w:color w:val="FFFFFF"/>
                <w:sz w:val="18"/>
              </w:rPr>
              <w:t>Objective</w:t>
            </w:r>
          </w:p>
        </w:tc>
        <w:tc>
          <w:tcPr>
            <w:tcW w:type="dxa" w:w="1440"/>
            <w:shd w:fill="0A222D"/>
            <w:tcMar>
              <w:top w:w="100" w:type="dxa"/>
              <w:start w:w="120" w:type="dxa"/>
              <w:bottom w:w="100" w:type="dxa"/>
              <w:end w:w="120" w:type="dxa"/>
            </w:tcMar>
          </w:tcPr>
          <w:p>
            <w:r>
              <w:rPr>
                <w:b/>
                <w:color w:val="FFFFFF"/>
                <w:sz w:val="18"/>
              </w:rPr>
              <w:t>When</w:t>
            </w:r>
          </w:p>
        </w:tc>
        <w:tc>
          <w:tcPr>
            <w:tcW w:type="dxa" w:w="1800"/>
            <w:shd w:fill="0A222D"/>
            <w:tcMar>
              <w:top w:w="100" w:type="dxa"/>
              <w:start w:w="120" w:type="dxa"/>
              <w:bottom w:w="100" w:type="dxa"/>
              <w:end w:w="120" w:type="dxa"/>
            </w:tcMar>
          </w:tcPr>
          <w:p>
            <w:r>
              <w:rPr>
                <w:b/>
                <w:color w:val="FFFFFF"/>
                <w:sz w:val="18"/>
              </w:rPr>
              <w:t>Result</w:t>
            </w:r>
          </w:p>
        </w:tc>
        <w:tc>
          <w:tcPr>
            <w:tcW w:type="dxa" w:w="1800"/>
            <w:shd w:fill="0A222D"/>
            <w:tcMar>
              <w:top w:w="100" w:type="dxa"/>
              <w:start w:w="120" w:type="dxa"/>
              <w:bottom w:w="100" w:type="dxa"/>
              <w:end w:w="120" w:type="dxa"/>
            </w:tcMar>
          </w:tcPr>
          <w:p>
            <w:r>
              <w:rPr>
                <w:b/>
                <w:color w:val="FFFFFF"/>
                <w:sz w:val="18"/>
              </w:rPr>
              <w:t>Gap</w:t>
            </w:r>
          </w:p>
        </w:tc>
        <w:tc>
          <w:tcPr>
            <w:tcW w:type="dxa" w:w="1152"/>
            <w:shd w:fill="0A222D"/>
            <w:tcMar>
              <w:top w:w="100" w:type="dxa"/>
              <w:start w:w="120" w:type="dxa"/>
              <w:bottom w:w="100" w:type="dxa"/>
              <w:end w:w="120" w:type="dxa"/>
            </w:tcMar>
          </w:tcPr>
          <w:p>
            <w:r>
              <w:rPr>
                <w:b/>
                <w:color w:val="FFFFFF"/>
                <w:sz w:val="18"/>
              </w:rPr>
              <w:t>Retest</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[EX-01]</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[Call tree / tabletop / walkthrough / technical recovery / alternate site / full exercise]</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[Scenario / functions]</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[Objectives]</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[Date / participants]</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[Results / evidence]</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[Gap / owner / due]</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[Retest]</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[EX-02]</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Monthly / frequent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[Contact, supplier, roster, emergency access, monitoring, or rapid-change checks]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Quarterly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[Function/dependency owner review, open treatment, backup/restore evidence, vendor and communications test]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Annual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[Full plan and authority review, risk and business-impact refresh, cross-functional exercise, board/executive approval]</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Change-triggered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[Leadership, staff, facility, system, vendor, service, contract, regulator, insurance, geography, or threat change]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Post-incident / exercise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[After-action review, corrective action, owner, due date, approval, distribution, training, and retest]</w:t>
            </w:r>
          </w:p>
        </w:tc>
      </w:tr>
    </w:tbl>
    <w:p>
      <w:r>
        <w:br w:type="page"/>
      </w:r>
    </w:p>
    <w:p>
      <w:pPr>
        <w:pStyle w:val="Heading1"/>
        <w:keepNext/>
      </w:pPr>
      <w:r>
        <w:t>Final readiness checklist</w:t>
      </w:r>
    </w:p>
    <w:p>
      <w:pPr>
        <w:pStyle w:val="ListBullet"/>
        <w:spacing w:after="60"/>
      </w:pPr>
      <w:r>
        <w:t>Activation, deactivation, succession, delegation, emergency spending, communications, and external-notification authority are current and tested.</w:t>
      </w:r>
    </w:p>
    <w:p>
      <w:pPr>
        <w:pStyle w:val="ListBullet"/>
        <w:spacing w:after="60"/>
      </w:pPr>
      <w:r>
        <w:t>Essential functions have verified minimum service levels, disruption tolerances, recovery objectives, owners, dependencies, workarounds, and restart gates.</w:t>
      </w:r>
    </w:p>
    <w:p>
      <w:pPr>
        <w:pStyle w:val="ListBullet"/>
        <w:spacing w:after="60"/>
      </w:pPr>
      <w:r>
        <w:t>Protected contact, plan, credential, vendor, facility, system, data, insurance, contract, and regulatory records are available through approved offline/alternate methods.</w:t>
      </w:r>
    </w:p>
    <w:p>
      <w:pPr>
        <w:pStyle w:val="ListBullet"/>
        <w:spacing w:after="60"/>
      </w:pPr>
      <w:r>
        <w:t>Continuity strategies align with emergency, incident-response, disaster-recovery, safeguarding, privacy/security, finance, procurement, accessibility, HR, insurance, and legal plans.</w:t>
      </w:r>
    </w:p>
    <w:p>
      <w:pPr>
        <w:pStyle w:val="ListBullet"/>
        <w:spacing w:after="60"/>
      </w:pPr>
      <w:r>
        <w:t>Workarounds preserve authorization, privacy, security, transaction integrity, records, quality, consent, and later reconciliation.</w:t>
      </w:r>
    </w:p>
    <w:p>
      <w:pPr>
        <w:pStyle w:val="ListBullet"/>
        <w:spacing w:after="60"/>
      </w:pPr>
      <w:r>
        <w:t>Exercises cover realistic people, facility, technology/data, vendor, communications, and compounding scenarios; gaps have owners, due dates, and retest evidence.</w:t>
      </w:r>
    </w:p>
    <w:p>
      <w:pPr>
        <w:pStyle w:val="ListBullet"/>
        <w:spacing w:after="60"/>
      </w:pPr>
      <w:r>
        <w:t>The plan is distributed only to authorized roles, includes an accessible contact route, and has a recorded approval and next review date.</w:t>
      </w:r>
    </w:p>
    <w:p>
      <w:pPr>
        <w:pStyle w:val="Heading1"/>
        <w:keepNext/>
      </w:pPr>
      <w:r>
        <w:t>Planning references</w:t>
      </w:r>
    </w:p>
    <w:tbl>
      <w:tblPr>
        <w:tblW w:type="auto" w:w="0"/>
        <w:jc w:val="center"/>
        <w:tblLayout w:type="fixed"/>
        <w:tblLook w:firstColumn="1" w:firstRow="1" w:lastColumn="0" w:lastRow="0" w:noHBand="0" w:noVBand="1" w:val="04A0"/>
      </w:tblPr>
      <w:tblGrid>
        <w:gridCol w:w="2448"/>
        <w:gridCol w:w="3888"/>
        <w:gridCol w:w="4464"/>
      </w:tblGrid>
      <w:tr>
        <w:trPr>
          <w:tblHeader w:val="true"/>
        </w:trPr>
        <w:tc>
          <w:tcPr>
            <w:tcW w:type="dxa" w:w="2448"/>
            <w:shd w:fill="0A222D"/>
            <w:tcMar>
              <w:top w:w="100" w:type="dxa"/>
              <w:start w:w="120" w:type="dxa"/>
              <w:bottom w:w="100" w:type="dxa"/>
              <w:end w:w="120" w:type="dxa"/>
            </w:tcMar>
          </w:tcPr>
          <w:p>
            <w:r>
              <w:rPr>
                <w:b/>
                <w:color w:val="FFFFFF"/>
                <w:sz w:val="18"/>
              </w:rPr>
              <w:t>Source</w:t>
            </w:r>
          </w:p>
        </w:tc>
        <w:tc>
          <w:tcPr>
            <w:tcW w:type="dxa" w:w="3888"/>
            <w:shd w:fill="0A222D"/>
            <w:tcMar>
              <w:top w:w="100" w:type="dxa"/>
              <w:start w:w="120" w:type="dxa"/>
              <w:bottom w:w="100" w:type="dxa"/>
              <w:end w:w="120" w:type="dxa"/>
            </w:tcMar>
          </w:tcPr>
          <w:p>
            <w:r>
              <w:rPr>
                <w:b/>
                <w:color w:val="FFFFFF"/>
                <w:sz w:val="18"/>
              </w:rPr>
              <w:t>URL</w:t>
            </w:r>
          </w:p>
        </w:tc>
        <w:tc>
          <w:tcPr>
            <w:tcW w:type="dxa" w:w="4464"/>
            <w:shd w:fill="0A222D"/>
            <w:tcMar>
              <w:top w:w="100" w:type="dxa"/>
              <w:start w:w="120" w:type="dxa"/>
              <w:bottom w:w="100" w:type="dxa"/>
              <w:end w:w="120" w:type="dxa"/>
            </w:tcMar>
          </w:tcPr>
          <w:p>
            <w:r>
              <w:rPr>
                <w:b/>
                <w:color w:val="FFFFFF"/>
                <w:sz w:val="18"/>
              </w:rPr>
              <w:t>Use in this template</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Ready.gov — Business Continuity Planning</w:t>
            </w:r>
          </w:p>
        </w:tc>
        <w:tc>
          <w:tcPr>
            <w:tcW w:type="dxa" w:w="38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https://www.ready.gov/business/emergency-plans/continuity-planning</w:t>
            </w:r>
          </w:p>
        </w:tc>
        <w:tc>
          <w:tcPr>
            <w:tcW w:type="dxa" w:w="446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Current planning overview, six-step training sequence, plan and exercise resources.</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FEMA — Continuity Resource Toolkit</w:t>
            </w:r>
          </w:p>
        </w:tc>
        <w:tc>
          <w:tcPr>
            <w:tcW w:type="dxa" w:w="38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https://www.fema.gov/emergency-managers/national-preparedness/continuity</w:t>
            </w:r>
          </w:p>
        </w:tc>
        <w:tc>
          <w:tcPr>
            <w:tcW w:type="dxa" w:w="446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Continuity definition and resources for maintaining essential functions and organizational viability.</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CISA — Business Continuity in a Box</w:t>
            </w:r>
          </w:p>
        </w:tc>
        <w:tc>
          <w:tcPr>
            <w:tcW w:type="dxa" w:w="38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https://www.cisa.gov/resources-tools/resources/business-continuity-box</w:t>
            </w:r>
          </w:p>
        </w:tc>
        <w:tc>
          <w:tcPr>
            <w:tcW w:type="dxa" w:w="446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Continuity of communications and applications when data or system availability/integrity is compromised.</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CISA — Risk Assessment Methodologies</w:t>
            </w:r>
          </w:p>
        </w:tc>
        <w:tc>
          <w:tcPr>
            <w:tcW w:type="dxa" w:w="38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https://www.cisa.gov/resources-tools/resources/risk-assessment-methodologies</w:t>
            </w:r>
          </w:p>
        </w:tc>
        <w:tc>
          <w:tcPr>
            <w:tcW w:type="dxa" w:w="446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Documented, reproducible, defensible risk assessment and scenario/performance planning concepts.</w:t>
            </w:r>
          </w:p>
        </w:tc>
      </w:tr>
    </w:tbl>
    <w:p>
      <w:pPr>
        <w:spacing w:before="80" w:after="0"/>
      </w:pPr>
      <w:r>
        <w:rPr>
          <w:rFonts w:ascii="Aptos" w:hAnsi="Aptos"/>
          <w:color w:val="5A6770"/>
          <w:sz w:val="15"/>
        </w:rPr>
        <w:t>Use note: Review authoritative local emergency guidance and the organization’s current legal, regulatory, insurance, facility, technology, data, safety, safeguarding, employment, vendor, and contract requirements. Planning targets and templates do not establish guaranteed recovery.</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Business Continuity Plan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Business Continuity Plan Template</dc:title>
  <dc:subject>Editable Salish Sea Consulting Template Library resource</dc:subject>
  <dc:creator>Salish Sea Consulting</dc:creator>
  <cp:keywords>Salish Sea Consulting, template library, editable template, Release 3</cp:keywords>
  <dc:description>Version 1.0 | Published August 31, 2026</dc:description>
  <cp:lastModifiedBy>Salish Sea Consulting</cp:lastModifiedBy>
  <cp:revision>1</cp:revision>
  <dcterms:created xsi:type="dcterms:W3CDTF">2013-12-23T23:15:00Z</dcterms:created>
  <dcterms:modified xsi:type="dcterms:W3CDTF">2026-08-31T22:45:09Z</dcterms:modified>
  <cp:category/>
</cp:coreProperties>
</file>