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left"/>
      </w:pPr>
      <w:r>
        <w:drawing>
          <wp:inline xmlns:a="http://schemas.openxmlformats.org/drawingml/2006/main" xmlns:pic="http://schemas.openxmlformats.org/drawingml/2006/picture">
            <wp:extent cx="1417320" cy="648874"/>
            <wp:docPr id="1" name="Picture 1"/>
            <wp:cNvGraphicFramePr>
              <a:graphicFrameLocks noChangeAspect="1"/>
            </wp:cNvGraphicFramePr>
            <a:graphic>
              <a:graphicData uri="http://schemas.openxmlformats.org/drawingml/2006/picture">
                <pic:pic>
                  <pic:nvPicPr>
                    <pic:cNvPr id="0" name="ssc-logo.png"/>
                    <pic:cNvPicPr/>
                  </pic:nvPicPr>
                  <pic:blipFill>
                    <a:blip r:embed="rId11"/>
                    <a:stretch>
                      <a:fillRect/>
                    </a:stretch>
                  </pic:blipFill>
                  <pic:spPr>
                    <a:xfrm>
                      <a:off x="0" y="0"/>
                      <a:ext cx="1417320" cy="648874"/>
                    </a:xfrm>
                    <a:prstGeom prst="rect"/>
                  </pic:spPr>
                </pic:pic>
              </a:graphicData>
            </a:graphic>
          </wp:inline>
        </w:drawing>
      </w:r>
    </w:p>
    <w:p>
      <w:pPr>
        <w:pStyle w:val="Eyebrow"/>
      </w:pPr>
      <w:r>
        <w:t>IMPACT, STEWARDSHIP &amp; ACCOUNTABILITY</w:t>
      </w:r>
    </w:p>
    <w:p>
      <w:pPr>
        <w:pStyle w:val="Title"/>
      </w:pPr>
      <w:r>
        <w:t>Nonprofit Annual Report Template</w:t>
      </w:r>
    </w:p>
    <w:p>
      <w:pPr>
        <w:spacing w:after="320"/>
      </w:pPr>
      <w:r>
        <w:rPr>
          <w:rFonts w:ascii="Aptos" w:hAnsi="Aptos"/>
          <w:color w:val="14515E"/>
          <w:sz w:val="28"/>
        </w:rPr>
        <w:t>Build a credible year-in-review narrative that connects mission, people, programs, verified results, financial stewardship, governance, and the road ahead.</w:t>
      </w:r>
    </w:p>
    <w:p>
      <w:pPr>
        <w:spacing w:before="1800" w:after="160"/>
      </w:pPr>
      <w:r>
        <w:rPr>
          <w:rFonts w:ascii="Aptos" w:hAnsi="Aptos"/>
          <w:b/>
          <w:color w:val="2BB7A3"/>
          <w:sz w:val="17"/>
        </w:rPr>
        <w:t>VERSION 1.0  •  AUGUST 2026</w:t>
      </w:r>
    </w:p>
    <w:p>
      <w:r>
        <w:rPr>
          <w:rFonts w:ascii="Aptos" w:hAnsi="Aptos"/>
          <w:color w:val="5A6770"/>
          <w:sz w:val="20"/>
        </w:rPr>
        <w:t>Built for clear decisions, defensible communication, and practical reuse.</w:t>
      </w:r>
    </w:p>
    <w:p>
      <w:r>
        <w:br w:type="page"/>
      </w:r>
    </w:p>
    <w:p>
      <w:pPr>
        <w:pStyle w:val="Heading1"/>
        <w:keepNext/>
      </w:pPr>
      <w:r>
        <w:t>How to use this template</w:t>
      </w:r>
    </w:p>
    <w:p>
      <w:r>
        <w:t>Use this document as both an editorial blueprint and a working draft. Start with the reporting period, audience, decisions, and authoritative data sources. Build the story from verified results and stewardship obligations; choose participant stories only after consent, privacy, dignity, and safeguarding review. Replace bracketed prompts and delete unused production notes before publication.</w:t>
      </w:r>
    </w:p>
    <w:p>
      <w:pPr>
        <w:pStyle w:val="ListNumber"/>
        <w:spacing w:after="60"/>
      </w:pPr>
      <w:r>
        <w:t>Define the reporting period, intended audiences, publication channels, owners, approval route, and source cutoff.</w:t>
      </w:r>
    </w:p>
    <w:p>
      <w:pPr>
        <w:pStyle w:val="ListNumber"/>
        <w:spacing w:after="60"/>
      </w:pPr>
      <w:r>
        <w:t>Reconcile program, fundraising, finance, governance, people, partner, and audience records before selecting headline claims.</w:t>
      </w:r>
    </w:p>
    <w:p>
      <w:pPr>
        <w:pStyle w:val="ListNumber"/>
        <w:spacing w:after="60"/>
      </w:pPr>
      <w:r>
        <w:t>Distinguish outputs, outcomes, learning, and aspirations; disclose important limitations, changes, and unfavorable results.</w:t>
      </w:r>
    </w:p>
    <w:p>
      <w:pPr>
        <w:pStyle w:val="ListNumber"/>
        <w:spacing w:after="60"/>
      </w:pPr>
      <w:r>
        <w:t>Use stories to add context—not to substitute for evidence—and follow approved consent, privacy, compensation, and safeguarding practices.</w:t>
      </w:r>
    </w:p>
    <w:p>
      <w:pPr>
        <w:pStyle w:val="ListNumber"/>
        <w:spacing w:after="60"/>
      </w:pPr>
      <w:r>
        <w:t>Reconcile financial summaries to the authoritative statements and use the organization’s approved accounting terminology.</w:t>
      </w:r>
    </w:p>
    <w:p>
      <w:pPr>
        <w:pStyle w:val="ListNumber"/>
        <w:spacing w:after="60"/>
      </w:pPr>
      <w:r>
        <w:t>Complete factual, financial, legal, accessibility, brand, image-rights, governance, and executive/board review before release.</w:t>
      </w:r>
    </w:p>
    <w:tbl>
      <w:tblPr>
        <w:tblW w:type="auto" w:w="0"/>
        <w:jc w:val="center"/>
        <w:tblLayout w:type="fixed"/>
        <w:tblLook w:firstColumn="1" w:firstRow="1" w:lastColumn="0" w:lastRow="0" w:noHBand="0" w:noVBand="1" w:val="04A0"/>
      </w:tblPr>
      <w:tblGrid>
        <w:gridCol w:w="173"/>
        <w:gridCol w:w="9720"/>
      </w:tblGrid>
      <w:tr>
        <w:trPr>
          <w:cantSplit/>
        </w:trPr>
        <w:tc>
          <w:tcPr>
            <w:tcW w:type="dxa" w:w="5083"/>
            <w:shd w:fill="2BB7A3"/>
            <w:tcMar>
              <w:top w:w="40" w:type="dxa"/>
              <w:start w:w="20" w:type="dxa"/>
              <w:bottom w:w="40" w:type="dxa"/>
              <w:end w:w="20" w:type="dxa"/>
            </w:tcMar>
            <w:tcBorders>
              <w:top w:val="nil"/>
              <w:left w:val="nil"/>
              <w:bottom w:val="nil"/>
              <w:right w:val="nil"/>
            </w:tcBorders>
          </w:tcPr>
          <w:p>
            <w:r/>
          </w:p>
        </w:tc>
        <w:tc>
          <w:tcPr>
            <w:tcW w:type="dxa" w:w="5083"/>
            <w:shd w:fill="EEF4F4"/>
            <w:tcMar>
              <w:top w:w="130" w:type="dxa"/>
              <w:start w:w="170" w:type="dxa"/>
              <w:bottom w:w="130" w:type="dxa"/>
              <w:end w:w="170" w:type="dxa"/>
            </w:tcMar>
            <w:tcBorders>
              <w:top w:val="nil"/>
              <w:left w:val="nil"/>
              <w:bottom w:val="nil"/>
              <w:right w:val="nil"/>
            </w:tcBorders>
          </w:tcPr>
          <w:p>
            <w:pPr>
              <w:spacing w:after="60"/>
            </w:pPr>
            <w:r>
              <w:rPr>
                <w:rFonts w:ascii="Aptos" w:hAnsi="Aptos"/>
                <w:b/>
                <w:color w:val="0A222D"/>
              </w:rPr>
              <w:t>Credibility is part of impact</w:t>
            </w:r>
          </w:p>
          <w:p>
            <w:pPr>
              <w:spacing w:after="0"/>
            </w:pPr>
            <w:r>
              <w:t>A strong annual report shows what changed, how the organization knows, what resources were entrusted, what was learned, and what readers should understand or do next.</w:t>
            </w:r>
          </w:p>
        </w:tc>
      </w:tr>
    </w:tbl>
    <w:p>
      <w:pPr>
        <w:spacing w:after="0"/>
      </w:pPr>
    </w:p>
    <w:p>
      <w:r>
        <w:br w:type="page"/>
      </w:r>
    </w:p>
    <w:p>
      <w:pPr>
        <w:pStyle w:val="Heading1"/>
        <w:keepNext/>
      </w:pPr>
      <w:r>
        <w:t>Editorial and production brief</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Organization / report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[Legal name, public name, annual report title]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Reporting period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[Fiscal/program/calendar start and end dates]</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Publication date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[Target date and review cutoff]</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Primary audiences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[Community, participants, donors, funders, partners, board, staff, regulators, public]</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Reader decisions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[Understand, trust, renew, give, partner, apply, participate, advocate, or govern]</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Core theme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[One truthful organizing idea supported across narrative, results, and design]</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Publication formats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[Web, downloadable file, print, email, presentation, translated or accessible formats]</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Source cutoff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[Date and authoritative systems / statements included]</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Editorial owner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[Writer/editor and backup]</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Approvals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[Program, finance, development, communications, executive, legal, board, partner, participant]</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Accessibility / language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[Reading level, alt text, contrast, captions, translation, screen-reader structure, print needs]</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Archive / version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[Final repository, file naming, source package, approval record]</w:t>
            </w:r>
          </w:p>
        </w:tc>
      </w:tr>
    </w:tbl>
    <w:p>
      <w:r>
        <w:br w:type="page"/>
      </w:r>
    </w:p>
    <w:p>
      <w:pPr>
        <w:pStyle w:val="Heading1"/>
        <w:keepNext/>
      </w:pPr>
      <w:r>
        <w:t>Story architecture</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Opening promise</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[What the report helps the reader understand about the year]</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Context</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[Material external or organizational conditions that shaped need, delivery, or results]</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Mission in action</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[How programs, people, resources, and partnerships responded]</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Headline results</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[Small set of verified changes or reach measures with context and limitations]</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Stewardship</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[How resources, governance, accountability, and risk were handled]</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Learning</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[What did not work as expected, what changed, and what evidence informed the change]</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Road ahead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[Priority outcomes, constraints, decisions, and invitation for the next period]</w:t>
            </w:r>
          </w:p>
        </w:tc>
      </w:tr>
    </w:tbl>
    <w:tbl>
      <w:tblPr>
        <w:tblW w:type="auto" w:w="0"/>
        <w:jc w:val="center"/>
        <w:tblLayout w:type="fixed"/>
        <w:tblLook w:firstColumn="1" w:firstRow="1" w:lastColumn="0" w:lastRow="0" w:noHBand="0" w:noVBand="1" w:val="04A0"/>
      </w:tblPr>
      <w:tblGrid>
        <w:gridCol w:w="792"/>
        <w:gridCol w:w="2088"/>
        <w:gridCol w:w="1800"/>
        <w:gridCol w:w="1512"/>
        <w:gridCol w:w="1656"/>
        <w:gridCol w:w="1224"/>
        <w:gridCol w:w="1800"/>
      </w:tblGrid>
      <w:tr>
        <w:trPr>
          <w:tblHeader w:val="true"/>
        </w:trPr>
        <w:tc>
          <w:tcPr>
            <w:tcW w:type="dxa" w:w="792"/>
            <w:shd w:fill="0A222D"/>
            <w:tcMar>
              <w:top w:w="100" w:type="dxa"/>
              <w:start w:w="120" w:type="dxa"/>
              <w:bottom w:w="100" w:type="dxa"/>
              <w:end w:w="120" w:type="dxa"/>
            </w:tcMar>
          </w:tcPr>
          <w:p>
            <w:r>
              <w:rPr>
                <w:b/>
                <w:color w:val="FFFFFF"/>
                <w:sz w:val="18"/>
              </w:rPr>
              <w:t>ID</w:t>
            </w:r>
          </w:p>
        </w:tc>
        <w:tc>
          <w:tcPr>
            <w:tcW w:type="dxa" w:w="2088"/>
            <w:shd w:fill="0A222D"/>
            <w:tcMar>
              <w:top w:w="100" w:type="dxa"/>
              <w:start w:w="120" w:type="dxa"/>
              <w:bottom w:w="100" w:type="dxa"/>
              <w:end w:w="120" w:type="dxa"/>
            </w:tcMar>
          </w:tcPr>
          <w:p>
            <w:r>
              <w:rPr>
                <w:b/>
                <w:color w:val="FFFFFF"/>
                <w:sz w:val="18"/>
              </w:rPr>
              <w:t>Claim</w:t>
            </w:r>
          </w:p>
        </w:tc>
        <w:tc>
          <w:tcPr>
            <w:tcW w:type="dxa" w:w="1800"/>
            <w:shd w:fill="0A222D"/>
            <w:tcMar>
              <w:top w:w="100" w:type="dxa"/>
              <w:start w:w="120" w:type="dxa"/>
              <w:bottom w:w="100" w:type="dxa"/>
              <w:end w:w="120" w:type="dxa"/>
            </w:tcMar>
          </w:tcPr>
          <w:p>
            <w:r>
              <w:rPr>
                <w:b/>
                <w:color w:val="FFFFFF"/>
                <w:sz w:val="18"/>
              </w:rPr>
              <w:t>Source</w:t>
            </w:r>
          </w:p>
        </w:tc>
        <w:tc>
          <w:tcPr>
            <w:tcW w:type="dxa" w:w="1512"/>
            <w:shd w:fill="0A222D"/>
            <w:tcMar>
              <w:top w:w="100" w:type="dxa"/>
              <w:start w:w="120" w:type="dxa"/>
              <w:bottom w:w="100" w:type="dxa"/>
              <w:end w:w="120" w:type="dxa"/>
            </w:tcMar>
          </w:tcPr>
          <w:p>
            <w:r>
              <w:rPr>
                <w:b/>
                <w:color w:val="FFFFFF"/>
                <w:sz w:val="18"/>
              </w:rPr>
              <w:t>Scope</w:t>
            </w:r>
          </w:p>
        </w:tc>
        <w:tc>
          <w:tcPr>
            <w:tcW w:type="dxa" w:w="1656"/>
            <w:shd w:fill="0A222D"/>
            <w:tcMar>
              <w:top w:w="100" w:type="dxa"/>
              <w:start w:w="120" w:type="dxa"/>
              <w:bottom w:w="100" w:type="dxa"/>
              <w:end w:w="120" w:type="dxa"/>
            </w:tcMar>
          </w:tcPr>
          <w:p>
            <w:r>
              <w:rPr>
                <w:b/>
                <w:color w:val="FFFFFF"/>
                <w:sz w:val="18"/>
              </w:rPr>
              <w:t>Method</w:t>
            </w:r>
          </w:p>
        </w:tc>
        <w:tc>
          <w:tcPr>
            <w:tcW w:type="dxa" w:w="1224"/>
            <w:shd w:fill="0A222D"/>
            <w:tcMar>
              <w:top w:w="100" w:type="dxa"/>
              <w:start w:w="120" w:type="dxa"/>
              <w:bottom w:w="100" w:type="dxa"/>
              <w:end w:w="120" w:type="dxa"/>
            </w:tcMar>
          </w:tcPr>
          <w:p>
            <w:r>
              <w:rPr>
                <w:b/>
                <w:color w:val="FFFFFF"/>
                <w:sz w:val="18"/>
              </w:rPr>
              <w:t>Review</w:t>
            </w:r>
          </w:p>
        </w:tc>
        <w:tc>
          <w:tcPr>
            <w:tcW w:type="dxa" w:w="1800"/>
            <w:shd w:fill="0A222D"/>
            <w:tcMar>
              <w:top w:w="100" w:type="dxa"/>
              <w:start w:w="120" w:type="dxa"/>
              <w:bottom w:w="100" w:type="dxa"/>
              <w:end w:w="120" w:type="dxa"/>
            </w:tcMar>
          </w:tcPr>
          <w:p>
            <w:r>
              <w:rPr>
                <w:b/>
                <w:color w:val="FFFFFF"/>
                <w:sz w:val="18"/>
              </w:rPr>
              <w:t>Limit</w:t>
            </w:r>
          </w:p>
        </w:tc>
      </w:tr>
      <w:tr>
        <w:trPr>
          <w:cantSplit/>
        </w:trPr>
        <w:tc>
          <w:tcPr>
            <w:tcW w:type="dxa" w:w="79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[C-01]</w:t>
            </w:r>
          </w:p>
        </w:tc>
        <w:tc>
          <w:tcPr>
            <w:tcW w:type="dxa" w:w="208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[Headline claim / statistic]</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[Source / report / ledger]</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[Period / population]</w:t>
            </w:r>
          </w:p>
        </w:tc>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[Method / definition]</w:t>
            </w:r>
          </w:p>
        </w:tc>
        <w:tc>
          <w:tcPr>
            <w:tcW w:type="dxa" w:w="122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[Reviewer]</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[Limitation / footnote]</w:t>
            </w:r>
          </w:p>
        </w:tc>
      </w:tr>
      <w:tr>
        <w:trPr>
          <w:cantSplit/>
        </w:trPr>
        <w:tc>
          <w:tcPr>
            <w:tcW w:type="dxa" w:w="79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[C-02]</w:t>
            </w:r>
          </w:p>
        </w:tc>
        <w:tc>
          <w:tcPr>
            <w:tcW w:type="dxa" w:w="208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1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6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22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79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 xml:space="preserve"> [C-03]</w:t>
            </w:r>
          </w:p>
        </w:tc>
        <w:tc>
          <w:tcPr>
            <w:tcW w:type="dxa" w:w="208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22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bl>
    <w:p>
      <w:r>
        <w:br w:type="page"/>
      </w:r>
    </w:p>
    <w:p>
      <w:pPr>
        <w:pStyle w:val="Heading1"/>
        <w:keepNext/>
      </w:pPr>
      <w:r>
        <w:t>Leadership letter</w:t>
      </w:r>
    </w:p>
    <w:p>
      <w:pPr>
        <w:spacing w:after="140"/>
      </w:pPr>
      <w:r>
        <w:rPr>
          <w:color w:val="1D6F5F"/>
        </w:rPr>
        <w:t>Dear [community / supporters / partners],</w:t>
      </w:r>
    </w:p>
    <w:p>
      <w:pPr>
        <w:spacing w:after="140"/>
      </w:pPr>
      <w:r>
        <w:rPr>
          <w:color w:val="1D6F5F"/>
        </w:rPr>
        <w:t>[Open with the most important condition, responsibility, or shared experience of the year—not a list of activities.]</w:t>
      </w:r>
    </w:p>
    <w:p>
      <w:pPr>
        <w:spacing w:after="140"/>
      </w:pPr>
      <w:r>
        <w:rPr>
          <w:color w:val="1D6F5F"/>
        </w:rPr>
        <w:t>[Describe how the organization responded through people, programs, partnerships, and decisions. Include one verified result and one meaningful challenge or change.]</w:t>
      </w:r>
    </w:p>
    <w:p>
      <w:pPr>
        <w:spacing w:after="140"/>
      </w:pPr>
      <w:r>
        <w:rPr>
          <w:color w:val="1D6F5F"/>
        </w:rPr>
        <w:t>[Connect financial and governance stewardship to mission: how resources were prioritized, protected, or adapted.]</w:t>
      </w:r>
    </w:p>
    <w:p>
      <w:pPr>
        <w:spacing w:after="140"/>
      </w:pPr>
      <w:r>
        <w:rPr>
          <w:color w:val="1D6F5F"/>
        </w:rPr>
        <w:t>[State the next-period priority, uncertainty, or opportunity and invite a specific form of participation.]</w:t>
      </w:r>
    </w:p>
    <w:p>
      <w:pPr>
        <w:spacing w:after="140"/>
      </w:pPr>
      <w:r>
        <w:rPr>
          <w:color w:val="1D6F5F"/>
        </w:rPr>
        <w:t>With gratitude,</w:t>
        <w:br/>
        <w:t>[Executive leader name / title]</w:t>
        <w:br/>
        <w:t>[Board chair or additional signer, if appropriate]</w:t>
      </w:r>
    </w:p>
    <w:p>
      <w:pPr>
        <w:pStyle w:val="Heading1"/>
        <w:keepNext/>
      </w:pPr>
      <w:r>
        <w:t>Year at a glance</w:t>
      </w:r>
    </w:p>
    <w:tbl>
      <w:tblPr>
        <w:tblW w:type="auto" w:w="0"/>
        <w:jc w:val="center"/>
        <w:tblLayout w:type="fixed"/>
        <w:tblLook w:firstColumn="1" w:firstRow="1" w:lastColumn="0" w:lastRow="0" w:noHBand="0" w:noVBand="1" w:val="04A0"/>
      </w:tblPr>
      <w:tblGrid>
        <w:gridCol w:w="1584"/>
        <w:gridCol w:w="1080"/>
        <w:gridCol w:w="1656"/>
        <w:gridCol w:w="1152"/>
        <w:gridCol w:w="1800"/>
        <w:gridCol w:w="1800"/>
        <w:gridCol w:w="1584"/>
      </w:tblGrid>
      <w:tr>
        <w:trPr>
          <w:tblHeader w:val="true"/>
        </w:trPr>
        <w:tc>
          <w:tcPr>
            <w:tcW w:type="dxa" w:w="1584"/>
            <w:shd w:fill="0A222D"/>
            <w:tcMar>
              <w:top w:w="100" w:type="dxa"/>
              <w:start w:w="120" w:type="dxa"/>
              <w:bottom w:w="100" w:type="dxa"/>
              <w:end w:w="120" w:type="dxa"/>
            </w:tcMar>
          </w:tcPr>
          <w:p>
            <w:r>
              <w:rPr>
                <w:b/>
                <w:color w:val="FFFFFF"/>
                <w:sz w:val="18"/>
              </w:rPr>
              <w:t>Metric</w:t>
            </w:r>
          </w:p>
        </w:tc>
        <w:tc>
          <w:tcPr>
            <w:tcW w:type="dxa" w:w="1080"/>
            <w:shd w:fill="0A222D"/>
            <w:tcMar>
              <w:top w:w="100" w:type="dxa"/>
              <w:start w:w="120" w:type="dxa"/>
              <w:bottom w:w="100" w:type="dxa"/>
              <w:end w:w="120" w:type="dxa"/>
            </w:tcMar>
          </w:tcPr>
          <w:p>
            <w:r>
              <w:rPr>
                <w:b/>
                <w:color w:val="FFFFFF"/>
                <w:sz w:val="18"/>
              </w:rPr>
              <w:t>Value</w:t>
            </w:r>
          </w:p>
        </w:tc>
        <w:tc>
          <w:tcPr>
            <w:tcW w:type="dxa" w:w="1656"/>
            <w:shd w:fill="0A222D"/>
            <w:tcMar>
              <w:top w:w="100" w:type="dxa"/>
              <w:start w:w="120" w:type="dxa"/>
              <w:bottom w:w="100" w:type="dxa"/>
              <w:end w:w="120" w:type="dxa"/>
            </w:tcMar>
          </w:tcPr>
          <w:p>
            <w:r>
              <w:rPr>
                <w:b/>
                <w:color w:val="FFFFFF"/>
                <w:sz w:val="18"/>
              </w:rPr>
              <w:t>Population</w:t>
            </w:r>
          </w:p>
        </w:tc>
        <w:tc>
          <w:tcPr>
            <w:tcW w:type="dxa" w:w="1152"/>
            <w:shd w:fill="0A222D"/>
            <w:tcMar>
              <w:top w:w="100" w:type="dxa"/>
              <w:start w:w="120" w:type="dxa"/>
              <w:bottom w:w="100" w:type="dxa"/>
              <w:end w:w="120" w:type="dxa"/>
            </w:tcMar>
          </w:tcPr>
          <w:p>
            <w:r>
              <w:rPr>
                <w:b/>
                <w:color w:val="FFFFFF"/>
                <w:sz w:val="18"/>
              </w:rPr>
              <w:t>When</w:t>
            </w:r>
          </w:p>
        </w:tc>
        <w:tc>
          <w:tcPr>
            <w:tcW w:type="dxa" w:w="1800"/>
            <w:shd w:fill="0A222D"/>
            <w:tcMar>
              <w:top w:w="100" w:type="dxa"/>
              <w:start w:w="120" w:type="dxa"/>
              <w:bottom w:w="100" w:type="dxa"/>
              <w:end w:w="120" w:type="dxa"/>
            </w:tcMar>
          </w:tcPr>
          <w:p>
            <w:r>
              <w:rPr>
                <w:b/>
                <w:color w:val="FFFFFF"/>
                <w:sz w:val="18"/>
              </w:rPr>
              <w:t>Source</w:t>
            </w:r>
          </w:p>
        </w:tc>
        <w:tc>
          <w:tcPr>
            <w:tcW w:type="dxa" w:w="1800"/>
            <w:shd w:fill="0A222D"/>
            <w:tcMar>
              <w:top w:w="100" w:type="dxa"/>
              <w:start w:w="120" w:type="dxa"/>
              <w:bottom w:w="100" w:type="dxa"/>
              <w:end w:w="120" w:type="dxa"/>
            </w:tcMar>
          </w:tcPr>
          <w:p>
            <w:r>
              <w:rPr>
                <w:b/>
                <w:color w:val="FFFFFF"/>
                <w:sz w:val="18"/>
              </w:rPr>
              <w:t>Meaning</w:t>
            </w:r>
          </w:p>
        </w:tc>
        <w:tc>
          <w:tcPr>
            <w:tcW w:type="dxa" w:w="1584"/>
            <w:shd w:fill="0A222D"/>
            <w:tcMar>
              <w:top w:w="100" w:type="dxa"/>
              <w:start w:w="120" w:type="dxa"/>
              <w:bottom w:w="100" w:type="dxa"/>
              <w:end w:w="120" w:type="dxa"/>
            </w:tcMar>
          </w:tcPr>
          <w:p>
            <w:r>
              <w:rPr>
                <w:b/>
                <w:color w:val="FFFFFF"/>
                <w:sz w:val="18"/>
              </w:rPr>
              <w:t>Limit</w:t>
            </w:r>
          </w:p>
        </w:tc>
      </w:tr>
      <w:tr>
        <w:trPr>
          <w:cantSplit/>
        </w:trPr>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[Metric]</w:t>
            </w:r>
          </w:p>
        </w:tc>
        <w:tc>
          <w:tcPr>
            <w:tcW w:type="dxa" w:w="10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[Value]</w:t>
            </w:r>
          </w:p>
        </w:tc>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[Who / what is counted]</w:t>
            </w:r>
          </w:p>
        </w:tc>
        <w:tc>
          <w:tcPr>
            <w:tcW w:type="dxa" w:w="115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[Period]</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[Source / definition]</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[Why it matters]</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[Limitation]</w:t>
            </w:r>
          </w:p>
        </w:tc>
      </w:tr>
      <w:tr>
        <w:trPr>
          <w:cantSplit/>
        </w:trPr>
        <w:tc>
          <w:tcPr>
            <w:tcW w:type="dxa" w:w="158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 ]</w:t>
            </w:r>
          </w:p>
        </w:tc>
        <w:tc>
          <w:tcPr>
            <w:tcW w:type="dxa" w:w="10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6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15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 xml:space="preserve"> [ ]</w:t>
            </w:r>
          </w:p>
        </w:tc>
        <w:tc>
          <w:tcPr>
            <w:tcW w:type="dxa" w:w="10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15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58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 xml:space="preserve"> [ ]</w:t>
            </w:r>
          </w:p>
        </w:tc>
        <w:tc>
          <w:tcPr>
            <w:tcW w:type="dxa" w:w="10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6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15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bl>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Data interpretation</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[Explain duplicates, unique people/households, estimates, survey response, attribution, changed definitions, geographic scope, or missing data.]</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Prior-period comparison</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[Comparable increase/decrease/steady result, or why comparison is not valid.]</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Outcome boundary</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[What the organization can reasonably claim to have contributed to versus directly caused.]</w:t>
            </w:r>
          </w:p>
        </w:tc>
      </w:tr>
    </w:tbl>
    <w:p>
      <w:r>
        <w:br w:type="page"/>
      </w:r>
    </w:p>
    <w:p>
      <w:pPr>
        <w:pStyle w:val="Heading1"/>
        <w:keepNext/>
      </w:pPr>
      <w:r>
        <w:t>Program or service result module</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Program / strategy</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[Name and one-line role in the mission]</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Need / context</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[Specific condition, population, place, and evidence]</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What we did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[Service, method, scale, access strategy, and partner role]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Who participated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[Verified population, geography, eligibility, access, and demographic reporting rules]</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Outputs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[Activities, units, products, services, sessions, referrals, or reach]</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Outcomes</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[Observed change, indicator, baseline/target, data source, and timing]</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Equity / access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[Who benefited or did not; barriers addressed; disaggregation and privacy limitations]</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Participant / partner voice</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[Approved quote, insight, or feedback with consent and context]</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Learning / adaptation</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[Challenge, variance, feedback, decision, and next test]</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Future priority</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[Next-period outcome, constraint, resource, or partnership need]</w:t>
            </w:r>
          </w:p>
        </w:tc>
      </w:tr>
    </w:tbl>
    <w:tbl>
      <w:tblPr>
        <w:tblW w:type="auto" w:w="0"/>
        <w:jc w:val="center"/>
        <w:tblLayout w:type="fixed"/>
        <w:tblLook w:firstColumn="1" w:firstRow="1" w:lastColumn="0" w:lastRow="0" w:noHBand="0" w:noVBand="1" w:val="04A0"/>
      </w:tblPr>
      <w:tblGrid>
        <w:gridCol w:w="173"/>
        <w:gridCol w:w="9720"/>
      </w:tblGrid>
      <w:tr>
        <w:trPr>
          <w:cantSplit/>
        </w:trPr>
        <w:tc>
          <w:tcPr>
            <w:tcW w:type="dxa" w:w="5083"/>
            <w:shd w:fill="2BB7A3"/>
            <w:tcMar>
              <w:top w:w="40" w:type="dxa"/>
              <w:start w:w="20" w:type="dxa"/>
              <w:bottom w:w="40" w:type="dxa"/>
              <w:end w:w="20" w:type="dxa"/>
            </w:tcMar>
            <w:tcBorders>
              <w:top w:val="nil"/>
              <w:left w:val="nil"/>
              <w:bottom w:val="nil"/>
              <w:right w:val="nil"/>
            </w:tcBorders>
          </w:tcPr>
          <w:p>
            <w:r/>
          </w:p>
        </w:tc>
        <w:tc>
          <w:tcPr>
            <w:tcW w:type="dxa" w:w="5083"/>
            <w:shd w:fill="EEF4F4"/>
            <w:tcMar>
              <w:top w:w="130" w:type="dxa"/>
              <w:start w:w="170" w:type="dxa"/>
              <w:bottom w:w="130" w:type="dxa"/>
              <w:end w:w="170" w:type="dxa"/>
            </w:tcMar>
            <w:tcBorders>
              <w:top w:val="nil"/>
              <w:left w:val="nil"/>
              <w:bottom w:val="nil"/>
              <w:right w:val="nil"/>
            </w:tcBorders>
          </w:tcPr>
          <w:p>
            <w:pPr>
              <w:spacing w:after="60"/>
            </w:pPr>
            <w:r>
              <w:rPr>
                <w:rFonts w:ascii="Aptos" w:hAnsi="Aptos"/>
                <w:b/>
                <w:color w:val="0A222D"/>
              </w:rPr>
              <w:t>Repeat this module</w:t>
            </w:r>
          </w:p>
          <w:p>
            <w:pPr>
              <w:spacing w:after="0"/>
            </w:pPr>
            <w:r>
              <w:t>Duplicate the complete program module for each major program or strategic area. Keep definitions and time periods consistent; do not combine unlike populations or outcomes merely to create a larger headline number.</w:t>
            </w:r>
          </w:p>
        </w:tc>
      </w:tr>
    </w:tbl>
    <w:p>
      <w:pPr>
        <w:spacing w:after="0"/>
      </w:pPr>
    </w:p>
    <w:p>
      <w:r>
        <w:br w:type="page"/>
      </w:r>
    </w:p>
    <w:p>
      <w:pPr>
        <w:pStyle w:val="Heading1"/>
        <w:keepNext/>
      </w:pPr>
      <w:r>
        <w:t>Story, image, and consent brief</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Story purpose</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[What the story helps readers understand that aggregate data cannot]</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Participant / subject</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[Name or protected identifier; role and relationship to organization]</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Consent status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[Informed written consent, date, permitted uses, duration, withdrawal route, guardian/counsel review if applicable]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Privacy / safeguarding</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[Sensitive facts removed, risk assessed, anonymity/pseudonym, location/date limits, safety contact]</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Compensation / power</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[Whether compensation or other benefit is offered; how voluntariness is protected]</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Fact verification</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[Who confirms quotes, dates, events, outcomes, and context]</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Images / media</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[Creator, model/property release, license, alt text, caption, crop/edit limits, credit]</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Final approval</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[Participant/guardian, program, safeguarding/privacy, communications, legal, partner]</w:t>
            </w:r>
          </w:p>
        </w:tc>
      </w:tr>
    </w:tbl>
    <w:p>
      <w:pPr>
        <w:spacing w:after="140"/>
      </w:pPr>
      <w:r>
        <w:rPr>
          <w:color w:val="1D6F5F"/>
        </w:rPr>
        <w:t>[Story headline that reflects the person’s agency and the program’s real role.]</w:t>
      </w:r>
    </w:p>
    <w:p>
      <w:pPr>
        <w:spacing w:after="140"/>
      </w:pPr>
      <w:r>
        <w:rPr>
          <w:color w:val="1D6F5F"/>
        </w:rPr>
        <w:t>[Context: what the participant wanted or faced, without unnecessary sensitive detail.]</w:t>
      </w:r>
    </w:p>
    <w:p>
      <w:pPr>
        <w:spacing w:after="140"/>
      </w:pPr>
      <w:r>
        <w:rPr>
          <w:color w:val="1D6F5F"/>
        </w:rPr>
        <w:t>[Experience: what they chose, did, or learned; how the organization or partner supported that process.]</w:t>
      </w:r>
    </w:p>
    <w:p>
      <w:pPr>
        <w:spacing w:after="140"/>
      </w:pPr>
      <w:r>
        <w:rPr>
          <w:color w:val="1D6F5F"/>
        </w:rPr>
        <w:t>[Result and continuing reality: verified change, unresolved barrier, and participant-approved quote.]</w:t>
      </w:r>
    </w:p>
    <w:p>
      <w:r>
        <w:br w:type="page"/>
      </w:r>
    </w:p>
    <w:p>
      <w:pPr>
        <w:pStyle w:val="Heading1"/>
        <w:keepNext/>
      </w:pPr>
      <w:r>
        <w:t>Financial stewardship</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Reporting basis / statements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[Fiscal period, cash/accrual, audited/reviewed/internal, consolidation, restrictions, and statement source]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Revenue and support</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[Category totals reconciled to authoritative statements; explain material concentrations or restrictions]</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Expenses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[Program/service, management/general, fundraising or approved functional/classification presentation]</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Net assets / reserves / liquidity</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[Approved terminology, balances, board policy, restrictions, and context]</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Material changes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[Variance, one-time item, in-kind item, capital item, debt, contingency, or accounting change]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Stewardship narrative</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[How financial choices supported mission, resilience, compliance, and future capacity]</w:t>
            </w:r>
          </w:p>
        </w:tc>
      </w:tr>
    </w:tbl>
    <w:tbl>
      <w:tblPr>
        <w:tblW w:type="auto" w:w="0"/>
        <w:jc w:val="center"/>
        <w:tblLayout w:type="fixed"/>
        <w:tblLook w:firstColumn="1" w:firstRow="1" w:lastColumn="0" w:lastRow="0" w:noHBand="0" w:noVBand="1" w:val="04A0"/>
      </w:tblPr>
      <w:tblGrid>
        <w:gridCol w:w="2304"/>
        <w:gridCol w:w="1656"/>
        <w:gridCol w:w="1656"/>
        <w:gridCol w:w="2880"/>
        <w:gridCol w:w="1728"/>
      </w:tblGrid>
      <w:tr>
        <w:trPr>
          <w:tblHeader w:val="true"/>
        </w:trPr>
        <w:tc>
          <w:tcPr>
            <w:tcW w:type="dxa" w:w="2304"/>
            <w:shd w:fill="0A222D"/>
            <w:tcMar>
              <w:top w:w="100" w:type="dxa"/>
              <w:start w:w="120" w:type="dxa"/>
              <w:bottom w:w="100" w:type="dxa"/>
              <w:end w:w="120" w:type="dxa"/>
            </w:tcMar>
          </w:tcPr>
          <w:p>
            <w:r>
              <w:rPr>
                <w:b/>
                <w:color w:val="FFFFFF"/>
                <w:sz w:val="18"/>
              </w:rPr>
              <w:t>Category</w:t>
            </w:r>
          </w:p>
        </w:tc>
        <w:tc>
          <w:tcPr>
            <w:tcW w:type="dxa" w:w="1656"/>
            <w:shd w:fill="0A222D"/>
            <w:tcMar>
              <w:top w:w="100" w:type="dxa"/>
              <w:start w:w="120" w:type="dxa"/>
              <w:bottom w:w="100" w:type="dxa"/>
              <w:end w:w="120" w:type="dxa"/>
            </w:tcMar>
          </w:tcPr>
          <w:p>
            <w:r>
              <w:rPr>
                <w:b/>
                <w:color w:val="FFFFFF"/>
                <w:sz w:val="18"/>
              </w:rPr>
              <w:t>Current</w:t>
            </w:r>
          </w:p>
        </w:tc>
        <w:tc>
          <w:tcPr>
            <w:tcW w:type="dxa" w:w="1656"/>
            <w:shd w:fill="0A222D"/>
            <w:tcMar>
              <w:top w:w="100" w:type="dxa"/>
              <w:start w:w="120" w:type="dxa"/>
              <w:bottom w:w="100" w:type="dxa"/>
              <w:end w:w="120" w:type="dxa"/>
            </w:tcMar>
          </w:tcPr>
          <w:p>
            <w:r>
              <w:rPr>
                <w:b/>
                <w:color w:val="FFFFFF"/>
                <w:sz w:val="18"/>
              </w:rPr>
              <w:t>Prior</w:t>
            </w:r>
          </w:p>
        </w:tc>
        <w:tc>
          <w:tcPr>
            <w:tcW w:type="dxa" w:w="2880"/>
            <w:shd w:fill="0A222D"/>
            <w:tcMar>
              <w:top w:w="100" w:type="dxa"/>
              <w:start w:w="120" w:type="dxa"/>
              <w:bottom w:w="100" w:type="dxa"/>
              <w:end w:w="120" w:type="dxa"/>
            </w:tcMar>
          </w:tcPr>
          <w:p>
            <w:r>
              <w:rPr>
                <w:b/>
                <w:color w:val="FFFFFF"/>
                <w:sz w:val="18"/>
              </w:rPr>
              <w:t>Context</w:t>
            </w:r>
          </w:p>
        </w:tc>
        <w:tc>
          <w:tcPr>
            <w:tcW w:type="dxa" w:w="1728"/>
            <w:shd w:fill="0A222D"/>
            <w:tcMar>
              <w:top w:w="100" w:type="dxa"/>
              <w:start w:w="120" w:type="dxa"/>
              <w:bottom w:w="100" w:type="dxa"/>
              <w:end w:w="120" w:type="dxa"/>
            </w:tcMar>
          </w:tcPr>
          <w:p>
            <w:r>
              <w:rPr>
                <w:b/>
                <w:color w:val="FFFFFF"/>
                <w:sz w:val="18"/>
              </w:rPr>
              <w:t>Source</w:t>
            </w:r>
          </w:p>
        </w:tc>
      </w:tr>
      <w:tr>
        <w:trPr>
          <w:cantSplit/>
        </w:trPr>
        <w:tc>
          <w:tcPr>
            <w:tcW w:type="dxa" w:w="230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[Category]</w:t>
            </w:r>
          </w:p>
        </w:tc>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current period]</w:t>
            </w:r>
          </w:p>
        </w:tc>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prior period]</w:t>
            </w:r>
          </w:p>
        </w:tc>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[Change / context]</w:t>
            </w:r>
          </w:p>
        </w:tc>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[Statement / note source]</w:t>
            </w:r>
          </w:p>
        </w:tc>
      </w:tr>
      <w:tr>
        <w:trPr>
          <w:cantSplit/>
        </w:trPr>
        <w:tc>
          <w:tcPr>
            <w:tcW w:type="dxa" w:w="230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 ]</w:t>
            </w:r>
          </w:p>
        </w:tc>
        <w:tc>
          <w:tcPr>
            <w:tcW w:type="dxa" w:w="16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6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230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TOTAL</w:t>
            </w:r>
          </w:p>
        </w:tc>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bl>
    <w:tbl>
      <w:tblPr>
        <w:tblW w:type="auto" w:w="0"/>
        <w:jc w:val="center"/>
        <w:tblLayout w:type="fixed"/>
        <w:tblLook w:firstColumn="1" w:firstRow="1" w:lastColumn="0" w:lastRow="0" w:noHBand="0" w:noVBand="1" w:val="04A0"/>
      </w:tblPr>
      <w:tblGrid>
        <w:gridCol w:w="173"/>
        <w:gridCol w:w="9720"/>
      </w:tblGrid>
      <w:tr>
        <w:trPr>
          <w:cantSplit/>
        </w:trPr>
        <w:tc>
          <w:tcPr>
            <w:tcW w:type="dxa" w:w="5083"/>
            <w:shd w:fill="2BB7A3"/>
            <w:tcMar>
              <w:top w:w="40" w:type="dxa"/>
              <w:start w:w="20" w:type="dxa"/>
              <w:bottom w:w="40" w:type="dxa"/>
              <w:end w:w="20" w:type="dxa"/>
            </w:tcMar>
            <w:tcBorders>
              <w:top w:val="nil"/>
              <w:left w:val="nil"/>
              <w:bottom w:val="nil"/>
              <w:right w:val="nil"/>
            </w:tcBorders>
          </w:tcPr>
          <w:p>
            <w:r/>
          </w:p>
        </w:tc>
        <w:tc>
          <w:tcPr>
            <w:tcW w:type="dxa" w:w="5083"/>
            <w:shd w:fill="EEF4F4"/>
            <w:tcMar>
              <w:top w:w="130" w:type="dxa"/>
              <w:start w:w="170" w:type="dxa"/>
              <w:bottom w:w="130" w:type="dxa"/>
              <w:end w:w="170" w:type="dxa"/>
            </w:tcMar>
            <w:tcBorders>
              <w:top w:val="nil"/>
              <w:left w:val="nil"/>
              <w:bottom w:val="nil"/>
              <w:right w:val="nil"/>
            </w:tcBorders>
          </w:tcPr>
          <w:p>
            <w:pPr>
              <w:spacing w:after="60"/>
            </w:pPr>
            <w:r>
              <w:rPr>
                <w:rFonts w:ascii="Aptos" w:hAnsi="Aptos"/>
                <w:b/>
                <w:color w:val="0A222D"/>
              </w:rPr>
              <w:t>Financial review required</w:t>
            </w:r>
          </w:p>
          <w:p>
            <w:pPr>
              <w:spacing w:after="0"/>
            </w:pPr>
            <w:r>
              <w:t>Reconcile every displayed total and percentage to the approved financial statements or ledger. Do not describe an internal summary as audited, and do not improvise functional expense, restriction, reserve, tax, or fundraising terminology.</w:t>
            </w:r>
          </w:p>
        </w:tc>
      </w:tr>
    </w:tbl>
    <w:p>
      <w:pPr>
        <w:spacing w:after="0"/>
      </w:pPr>
    </w:p>
    <w:p>
      <w:r>
        <w:br w:type="page"/>
      </w:r>
    </w:p>
    <w:p>
      <w:pPr>
        <w:pStyle w:val="Heading1"/>
        <w:keepNext/>
      </w:pPr>
      <w:r>
        <w:t>Governance, people, and accountability</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Board / governing body</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[Names, roles, terms, attendance or committees if appropriate, independence/conflict process, and year-end date]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Leadership and staff</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[Leadership, staff/contractor/volunteer context, workforce changes, wellbeing, development, and compensation disclosure rules]</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Policies and oversight</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[Conflict, whistleblower, safeguarding, privacy/security, finance, audit, reserves, investment, accessibility, equity, complaints, or other material governance]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Risk and incident disclosure</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[Material risk, incident, investigation, claim, breach, correction, or continuity matter—only with approved legal/governance review]</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Accountability channels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[Complaint, feedback, participant voice, ethics, data request, accessibility, and contact routes]</w:t>
            </w:r>
          </w:p>
        </w:tc>
      </w:tr>
    </w:tbl>
    <w:p>
      <w:r>
        <w:br w:type="page"/>
      </w:r>
    </w:p>
    <w:p>
      <w:pPr>
        <w:pStyle w:val="Heading1"/>
        <w:keepNext/>
      </w:pPr>
      <w:r>
        <w:t>Partners, supporters, and acknowledgements</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Recognition policy</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[Who is listed, period covered, thresholds, anonymity choices, in-kind treatment, corrections, and review owner]</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Partners</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[Program, referral, community, research, government, fiscal, venue, technology, or delivery partners and approved role language]</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Funders / donors / sponsors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[Approved names, levels/categories, anonymity, restrictions, and logo/naming permissions]</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Volunteers / advisors</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[Approved recognition, privacy, and consent]</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Corrections route</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[Contact and process for omitted, misspelled, or incorrectly categorized names]</w:t>
            </w:r>
          </w:p>
        </w:tc>
      </w:tr>
    </w:tbl>
    <w:p>
      <w:pPr>
        <w:spacing w:after="140"/>
      </w:pPr>
      <w:r>
        <w:rPr>
          <w:color w:val="1D6F5F"/>
        </w:rPr>
        <w:t>[Approved acknowledgement list or link to maintained web record. Verify spelling, entity name, recognition level, anonymity, and date coverage before publication.]</w:t>
      </w:r>
    </w:p>
    <w:p>
      <w:pPr>
        <w:pStyle w:val="Heading1"/>
        <w:keepNext/>
      </w:pPr>
      <w:r>
        <w:t>The road ahead</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Priority outcome</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[What must improve or be sustained next period]</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Evidence / reason</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[Need, performance, stakeholder, risk, policy, financial, or opportunity evidence]</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Planned response</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[Strategy, program, system, partnership, investment, or experiment]</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Constraint / uncertainty</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[Capacity, funding, policy, market, evidence, partner, technology, climate, or other]</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Success indicator</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[Measure, baseline, target/threshold, source, owner, and review date]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Invitation</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[Give, partner, apply, refer, volunteer, learn, attend, advocate, or contact—only where appropriate]</w:t>
            </w:r>
          </w:p>
        </w:tc>
      </w:tr>
    </w:tbl>
    <w:p>
      <w:r>
        <w:br w:type="page"/>
      </w:r>
    </w:p>
    <w:p>
      <w:pPr>
        <w:pStyle w:val="Heading1"/>
        <w:keepNext/>
      </w:pPr>
      <w:r>
        <w:t>Production and verification checklist</w:t>
      </w:r>
    </w:p>
    <w:p>
      <w:pPr>
        <w:pStyle w:val="ListBullet"/>
        <w:spacing w:after="60"/>
      </w:pPr>
      <w:r>
        <w:t>The reporting period, source cutoff, publication date, audience, message, and approval route are explicit.</w:t>
      </w:r>
    </w:p>
    <w:p>
      <w:pPr>
        <w:pStyle w:val="ListBullet"/>
        <w:spacing w:after="60"/>
      </w:pPr>
      <w:r>
        <w:t>Every quantitative and qualitative claim has an authoritative source, definition, period, reviewer, and disclosed limitation where material.</w:t>
      </w:r>
    </w:p>
    <w:p>
      <w:pPr>
        <w:pStyle w:val="ListBullet"/>
        <w:spacing w:after="60"/>
      </w:pPr>
      <w:r>
        <w:t>Outputs, outcomes, attribution/contribution, comparisons, forecasts, and aspirations are labeled accurately.</w:t>
      </w:r>
    </w:p>
    <w:p>
      <w:pPr>
        <w:pStyle w:val="ListBullet"/>
        <w:spacing w:after="60"/>
      </w:pPr>
      <w:r>
        <w:t>Participant stories, quotes, images, demographic details, and sensitive information follow consent, privacy, dignity, compensation, safeguarding, and withdrawal rules.</w:t>
      </w:r>
    </w:p>
    <w:p>
      <w:pPr>
        <w:pStyle w:val="ListBullet"/>
        <w:spacing w:after="60"/>
      </w:pPr>
      <w:r>
        <w:t>Financial summaries reconcile to the approved statements or ledger and use reviewed accounting and fundraising terminology.</w:t>
      </w:r>
    </w:p>
    <w:p>
      <w:pPr>
        <w:pStyle w:val="ListBullet"/>
        <w:spacing w:after="60"/>
      </w:pPr>
      <w:r>
        <w:t>Board, leadership, staff, partner, supporter, sponsor, funder, and recognition information is accurate as of the stated date.</w:t>
      </w:r>
    </w:p>
    <w:p>
      <w:pPr>
        <w:pStyle w:val="ListBullet"/>
        <w:spacing w:after="60"/>
      </w:pPr>
      <w:r>
        <w:t>The report passes legal, governance, finance, accessibility, translation, alt-text, caption, link, print, metadata, and mobile/web review.</w:t>
      </w:r>
    </w:p>
    <w:p>
      <w:pPr>
        <w:pStyle w:val="ListBullet"/>
        <w:spacing w:after="60"/>
      </w:pPr>
      <w:r>
        <w:t>Source files, consent/release records, review comments, approvals, final exports, and correction procedures are archived.</w:t>
      </w:r>
    </w:p>
    <w:p>
      <w:pPr>
        <w:spacing w:before="80" w:after="0"/>
      </w:pPr>
      <w:r>
        <w:rPr>
          <w:rFonts w:ascii="Aptos" w:hAnsi="Aptos"/>
          <w:color w:val="5A6770"/>
          <w:sz w:val="15"/>
        </w:rPr>
        <w:t>Use note: This is an editorial and accountability template, not accounting, audit, tax, legal, fundraising, privacy, accessibility-conformance, or governance advice. Use approved statements, policies, consent records, and qualified reviewers for consequential disclosures.</w:t>
      </w:r>
    </w:p>
    <w:sectPr w:rsidR="00FC693F" w:rsidRPr="0006063C" w:rsidSect="00034616">
      <w:headerReference w:type="default" r:id="rId9"/>
      <w:footerReference w:type="default" r:id="rId10"/>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A6770"/>
        <w:sz w:val="16"/>
      </w:rPr>
      <w:t xml:space="preserve">Nonprofit Annual Report Template  •  salishseaconsulting.com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2BB7A3"/>
        <w:sz w:val="16"/>
      </w:rPr>
      <w:t>SALISH SEA CONSULTING  /  TEMPLATE LIBRARY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411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0A222D"/>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w:hAnsi="Aptos"/>
      <w:b/>
      <w:bCs/>
      <w:color w:val="14515E"/>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ptos" w:hAnsi="Aptos"/>
      <w:b/>
      <w:bCs/>
      <w:color w:val="1D6F5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0A222D"/>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yebrow">
    <w:name w:val="Eyebrow"/>
    <w:pPr>
      <w:spacing w:after="140"/>
    </w:pPr>
    <w:rPr>
      <w:rFonts w:ascii="Aptos" w:hAnsi="Aptos"/>
      <w:b/>
      <w:color w:val="2BB7A3"/>
      <w:sz w:val="17"/>
    </w:rPr>
  </w:style>
  <w:style w:type="character" w:customStyle="1" w:styleId="Placeholder">
    <w:name w:val="Placeholder"/>
    <w:rPr>
      <w:rFonts w:ascii="Aptos" w:hAnsi="Aptos"/>
      <w:i/>
      <w:color w:val="1D6F5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SSC Nonprofit Annual Report Template</dc:title>
  <dc:subject>Editable Salish Sea Consulting Template Library resource</dc:subject>
  <dc:creator>Salish Sea Consulting</dc:creator>
  <cp:keywords>Salish Sea Consulting, template library, editable template, Release 3</cp:keywords>
  <dc:description>Version 1.0 | Published August 31, 2026</dc:description>
  <cp:lastModifiedBy>Salish Sea Consulting</cp:lastModifiedBy>
  <cp:revision>1</cp:revision>
  <dcterms:created xsi:type="dcterms:W3CDTF">2013-12-23T23:15:00Z</dcterms:created>
  <dcterms:modified xsi:type="dcterms:W3CDTF">2026-08-31T22:45:09Z</dcterms:modified>
  <cp:category/>
</cp:coreProperties>
</file>