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Rule="auto"/>
        <w:rPr/>
      </w:pPr>
      <w:r w:rsidDel="00000000" w:rsidR="00000000" w:rsidRPr="00000000">
        <w:rPr>
          <w:rFonts w:ascii="Aptos" w:cs="Aptos" w:eastAsia="Aptos" w:hAnsi="Aptos"/>
          <w:b w:val="1"/>
          <w:bCs w:val="1"/>
          <w:i w:val="0"/>
          <w:iCs w:val="0"/>
          <w:color w:val="2bb7a3"/>
          <w:sz w:val="17"/>
          <w:szCs w:val="17"/>
          <w:rtl w:val="0"/>
        </w:rPr>
        <w:t xml:space="preserve">NONPROFIT GOVERNANCE &amp; COMPLIANCE</w:t>
      </w:r>
      <w:r w:rsidDel="00000000" w:rsidR="00000000" w:rsidRPr="00000000">
        <w:rPr>
          <w:rtl w:val="0"/>
        </w:rPr>
      </w:r>
    </w:p>
    <w:p w:rsidR="00000000" w:rsidDel="00000000" w:rsidP="00000000" w:rsidRDefault="00000000" w:rsidRPr="00000000" w14:paraId="00000002">
      <w:pPr>
        <w:spacing w:after="120" w:before="0" w:lineRule="auto"/>
        <w:rPr/>
      </w:pPr>
      <w:r w:rsidDel="00000000" w:rsidR="00000000" w:rsidRPr="00000000">
        <w:rPr>
          <w:rFonts w:ascii="Play" w:cs="Play" w:eastAsia="Play" w:hAnsi="Play"/>
          <w:b w:val="1"/>
          <w:bCs w:val="1"/>
          <w:i w:val="0"/>
          <w:iCs w:val="0"/>
          <w:color w:val="0a222d"/>
          <w:sz w:val="56"/>
          <w:szCs w:val="56"/>
          <w:rtl w:val="0"/>
        </w:rPr>
        <w:t xml:space="preserve">Conflict of Interest Policy Template</w:t>
      </w:r>
      <w:r w:rsidDel="00000000" w:rsidR="00000000" w:rsidRPr="00000000">
        <w:rPr>
          <w:rtl w:val="0"/>
        </w:rPr>
      </w:r>
    </w:p>
    <w:p w:rsidR="00000000" w:rsidDel="00000000" w:rsidP="00000000" w:rsidRDefault="00000000" w:rsidRPr="00000000" w14:paraId="00000003">
      <w:pPr>
        <w:spacing w:after="120" w:before="0" w:lineRule="auto"/>
        <w:rPr/>
      </w:pPr>
      <w:r w:rsidDel="00000000" w:rsidR="00000000" w:rsidRPr="00000000">
        <w:rPr>
          <w:rFonts w:ascii="Aptos" w:cs="Aptos" w:eastAsia="Aptos" w:hAnsi="Aptos"/>
          <w:b w:val="0"/>
          <w:bCs w:val="0"/>
          <w:i w:val="0"/>
          <w:iCs w:val="0"/>
          <w:color w:val="14515e"/>
          <w:sz w:val="26"/>
          <w:szCs w:val="26"/>
          <w:rtl w:val="0"/>
        </w:rPr>
        <w:t xml:space="preserve">A board-adoptable policy with a ready-to-sign annual disclosure statement — built around what IRS Form 990 expects to see.</w:t>
      </w:r>
      <w:r w:rsidDel="00000000" w:rsidR="00000000" w:rsidRPr="00000000">
        <w:rPr>
          <w:rtl w:val="0"/>
        </w:rPr>
      </w:r>
    </w:p>
    <w:p w:rsidR="00000000" w:rsidDel="00000000" w:rsidP="00000000" w:rsidRDefault="00000000" w:rsidRPr="00000000" w14:paraId="00000004">
      <w:pPr>
        <w:spacing w:after="80" w:before="0" w:lineRule="auto"/>
        <w:rPr/>
      </w:pPr>
      <w:r w:rsidDel="00000000" w:rsidR="00000000" w:rsidRPr="00000000">
        <w:rPr>
          <w:rFonts w:ascii="Aptos" w:cs="Aptos" w:eastAsia="Aptos" w:hAnsi="Aptos"/>
          <w:b w:val="1"/>
          <w:bCs w:val="1"/>
          <w:i w:val="0"/>
          <w:iCs w:val="0"/>
          <w:color w:val="2bb7a3"/>
          <w:sz w:val="17"/>
          <w:szCs w:val="17"/>
          <w:rtl w:val="0"/>
        </w:rPr>
        <w:t xml:space="preserve">VERSION 1.0  •  SEPTEMBER 2026</w:t>
      </w:r>
      <w:r w:rsidDel="00000000" w:rsidR="00000000" w:rsidRPr="00000000">
        <w:rPr>
          <w:rtl w:val="0"/>
        </w:rPr>
      </w:r>
    </w:p>
    <w:p w:rsidR="00000000" w:rsidDel="00000000" w:rsidP="00000000" w:rsidRDefault="00000000" w:rsidRPr="00000000" w14:paraId="00000005">
      <w:pPr>
        <w:spacing w:after="280" w:before="0" w:lineRule="auto"/>
        <w:rPr/>
      </w:pPr>
      <w:r w:rsidDel="00000000" w:rsidR="00000000" w:rsidRPr="00000000">
        <w:rPr>
          <w:rFonts w:ascii="Aptos" w:cs="Aptos" w:eastAsia="Aptos" w:hAnsi="Aptos"/>
          <w:b w:val="0"/>
          <w:bCs w:val="0"/>
          <w:i w:val="0"/>
          <w:iCs w:val="0"/>
          <w:color w:val="5a6770"/>
          <w:sz w:val="20"/>
          <w:szCs w:val="20"/>
          <w:rtl w:val="0"/>
        </w:rPr>
        <w:t xml:space="preserve">Covers disclosure duties, board determination procedures, documentation requirements, and periodic review — not a substitute for attorney review.</w:t>
      </w:r>
      <w:r w:rsidDel="00000000" w:rsidR="00000000" w:rsidRPr="00000000">
        <w:rPr>
          <w:rtl w:val="0"/>
        </w:rPr>
      </w:r>
    </w:p>
    <w:tbl>
      <w:tblPr>
        <w:tblStyle w:val="Table1"/>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06">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07">
            <w:pPr>
              <w:spacing w:after="80" w:lineRule="auto"/>
              <w:rPr/>
            </w:pPr>
            <w:r w:rsidDel="00000000" w:rsidR="00000000" w:rsidRPr="00000000">
              <w:rPr>
                <w:rFonts w:ascii="Aptos" w:cs="Aptos" w:eastAsia="Aptos" w:hAnsi="Aptos"/>
                <w:b w:val="1"/>
                <w:bCs w:val="1"/>
                <w:i w:val="0"/>
                <w:iCs w:val="0"/>
                <w:color w:val="0a222d"/>
                <w:sz w:val="22"/>
                <w:szCs w:val="22"/>
                <w:rtl w:val="0"/>
              </w:rPr>
              <w:t xml:space="preserve">GENERAL TEMPLATE — NOT TAX OR LEGAL ADVICE. CONFIRM AGAINST YOUR GOVERNANCE STRUCTURE.</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Fonts w:ascii="Aptos" w:cs="Aptos" w:eastAsia="Aptos" w:hAnsi="Aptos"/>
                <w:b w:val="0"/>
                <w:bCs w:val="0"/>
                <w:i w:val="0"/>
                <w:iCs w:val="0"/>
                <w:color w:val="0f1f26"/>
                <w:sz w:val="19"/>
                <w:szCs w:val="19"/>
                <w:rtl w:val="0"/>
              </w:rPr>
              <w:t xml:space="preserve">IRS Form 990, Part VI, Line 12 asks whether your organization has a written conflict of interest policy, whether it requires annual disclosure of interests that could give rise to conflicts, and whether it regularly monitors and enforces compliance. This template is a starting point for building that policy, not tax or legal advice, and using it does not create a client relationship with Salish Sea Consulting.</w:t>
            </w:r>
            <w:r w:rsidDel="00000000" w:rsidR="00000000" w:rsidRPr="00000000">
              <w:rPr>
                <w:rtl w:val="0"/>
              </w:rPr>
            </w:r>
          </w:p>
          <w:p w:rsidR="00000000" w:rsidDel="00000000" w:rsidP="00000000" w:rsidRDefault="00000000" w:rsidRPr="00000000" w14:paraId="00000009">
            <w:pPr>
              <w:spacing w:after="40" w:lineRule="auto"/>
              <w:rPr/>
            </w:pPr>
            <w:r w:rsidDel="00000000" w:rsidR="00000000" w:rsidRPr="00000000">
              <w:rPr>
                <w:rFonts w:ascii="Aptos" w:cs="Aptos" w:eastAsia="Aptos" w:hAnsi="Aptos"/>
                <w:b w:val="0"/>
                <w:bCs w:val="0"/>
                <w:i w:val="0"/>
                <w:iCs w:val="0"/>
                <w:color w:val="0f1f26"/>
                <w:sz w:val="19"/>
                <w:szCs w:val="19"/>
                <w:rtl w:val="0"/>
              </w:rPr>
              <w:t xml:space="preserve">Adapt this policy to your organization's actual board size, committee structure, and state nonprofit corporation law before adoption, and have it reviewed by a licensed attorney in your state.</w:t>
            </w:r>
            <w:r w:rsidDel="00000000" w:rsidR="00000000" w:rsidRPr="00000000">
              <w:rPr>
                <w:rtl w:val="0"/>
              </w:rPr>
            </w:r>
          </w:p>
        </w:tc>
      </w:tr>
    </w:tbl>
    <w:p w:rsidR="00000000" w:rsidDel="00000000" w:rsidP="00000000" w:rsidRDefault="00000000" w:rsidRPr="00000000" w14:paraId="0000000A">
      <w:pPr>
        <w:spacing w:after="280" w:lineRule="auto"/>
        <w:rPr/>
      </w:pPr>
      <w:r w:rsidDel="00000000" w:rsidR="00000000" w:rsidRPr="00000000">
        <w:rPr>
          <w:rtl w:val="0"/>
        </w:rPr>
      </w:r>
    </w:p>
    <w:p w:rsidR="00000000" w:rsidDel="00000000" w:rsidP="00000000" w:rsidRDefault="00000000" w:rsidRPr="00000000" w14:paraId="0000000B">
      <w:pPr>
        <w:keepNext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How to use this template</w:t>
      </w:r>
      <w:r w:rsidDel="00000000" w:rsidR="00000000" w:rsidRPr="00000000">
        <w:rPr>
          <w:rtl w:val="0"/>
        </w:rPr>
      </w:r>
    </w:p>
    <w:p w:rsidR="00000000" w:rsidDel="00000000" w:rsidP="00000000" w:rsidRDefault="00000000" w:rsidRPr="00000000" w14:paraId="0000000C">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This document has two working parts: the policy itself (Articles I–VIII), which your board adopts once and revisits periodically, and the Annual Disclosure Statement near the end, which every director, officer, and key employee signs every year. Both parts matter — having a policy on file without actually using it is a common gap auditors and the IRS look for.</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Confirm this policy fits your governance structure — a board-only nonprofit, one with a voting membership, board size, and whether you have paid staff who report to the board.</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Fill in the bracketed organization-specific fields throughout (organization name, adoption date, officer titles).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Have your board formally adopt this policy at a documented meeting, with the adoption recorded in the minutes.</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Have every director, officer, and key employee complete the Annual Disclosure Statement at the start of their term, and again every year thereafter — this is the part Form 990 is really asking about.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Store completed disclosure statements in a confidential governance file, accessible to the board chair, executive director, and legal counsel — not in the general board packet.</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Reference this policy and your disclosure process directly when your organization completes Form 990, Part VI, Line 12 each year.</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Have counsel review this policy before your board adopts it, and revisit it at least every 2–3 years or whenever your board size, committee structure, or state law changes.</w:t>
      </w:r>
    </w:p>
    <w:tbl>
      <w:tblPr>
        <w:tblStyle w:val="Table2"/>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14">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15">
            <w:pPr>
              <w:spacing w:after="80" w:lineRule="auto"/>
              <w:rPr/>
            </w:pPr>
            <w:r w:rsidDel="00000000" w:rsidR="00000000" w:rsidRPr="00000000">
              <w:rPr>
                <w:rFonts w:ascii="Aptos" w:cs="Aptos" w:eastAsia="Aptos" w:hAnsi="Aptos"/>
                <w:b w:val="1"/>
                <w:bCs w:val="1"/>
                <w:i w:val="0"/>
                <w:iCs w:val="0"/>
                <w:color w:val="1d6f5f"/>
                <w:sz w:val="22"/>
                <w:szCs w:val="22"/>
                <w:rtl w:val="0"/>
              </w:rPr>
              <w:t xml:space="preserve">The Form 990 connection</w:t>
            </w:r>
            <w:r w:rsidDel="00000000" w:rsidR="00000000" w:rsidRPr="00000000">
              <w:rPr>
                <w:rtl w:val="0"/>
              </w:rPr>
            </w:r>
          </w:p>
          <w:p w:rsidR="00000000" w:rsidDel="00000000" w:rsidP="00000000" w:rsidRDefault="00000000" w:rsidRPr="00000000" w14:paraId="00000016">
            <w:pPr>
              <w:spacing w:after="80" w:lineRule="auto"/>
              <w:rPr/>
            </w:pPr>
            <w:r w:rsidDel="00000000" w:rsidR="00000000" w:rsidRPr="00000000">
              <w:rPr>
                <w:rFonts w:ascii="Aptos" w:cs="Aptos" w:eastAsia="Aptos" w:hAnsi="Aptos"/>
                <w:b w:val="0"/>
                <w:bCs w:val="0"/>
                <w:i w:val="0"/>
                <w:iCs w:val="0"/>
                <w:color w:val="0f1f26"/>
                <w:sz w:val="19"/>
                <w:szCs w:val="19"/>
                <w:rtl w:val="0"/>
              </w:rPr>
              <w:t xml:space="preserve">Form 990, Part VI, Section B asks three linked questions: Line 12a — does the organization have a written conflict of interest policy? Line 12b — does it require officers, directors, and key employees to annually disclose interests that could give rise to conflicts? Line 12c — does it regularly and consistently monitor and enforce compliance with the policy?</w:t>
            </w:r>
            <w:r w:rsidDel="00000000" w:rsidR="00000000" w:rsidRPr="00000000">
              <w:rPr>
                <w:rtl w:val="0"/>
              </w:rPr>
            </w:r>
          </w:p>
          <w:p w:rsidR="00000000" w:rsidDel="00000000" w:rsidP="00000000" w:rsidRDefault="00000000" w:rsidRPr="00000000" w14:paraId="00000017">
            <w:pPr>
              <w:spacing w:after="40" w:lineRule="auto"/>
              <w:rPr/>
            </w:pPr>
            <w:r w:rsidDel="00000000" w:rsidR="00000000" w:rsidRPr="00000000">
              <w:rPr>
                <w:rFonts w:ascii="Aptos" w:cs="Aptos" w:eastAsia="Aptos" w:hAnsi="Aptos"/>
                <w:b w:val="0"/>
                <w:bCs w:val="0"/>
                <w:i w:val="0"/>
                <w:iCs w:val="0"/>
                <w:color w:val="0f1f26"/>
                <w:sz w:val="19"/>
                <w:szCs w:val="19"/>
                <w:rtl w:val="0"/>
              </w:rPr>
              <w:t xml:space="preserve">Having this document is only the first “yes.” The Annual Disclosure Statement below is what lets you answer “yes” to 12b, and the board determination procedure in Article III — actually following it, and documenting that you did — is what lets you answer “yes” to 12c.</w:t>
            </w:r>
            <w:r w:rsidDel="00000000" w:rsidR="00000000" w:rsidRPr="00000000">
              <w:rPr>
                <w:rtl w:val="0"/>
              </w:rPr>
            </w:r>
          </w:p>
        </w:tc>
      </w:tr>
    </w:tbl>
    <w:p w:rsidR="00000000" w:rsidDel="00000000" w:rsidP="00000000" w:rsidRDefault="00000000" w:rsidRPr="00000000" w14:paraId="00000018">
      <w:pPr>
        <w:spacing w:after="280" w:lineRule="auto"/>
        <w:rPr/>
      </w:pPr>
      <w:r w:rsidDel="00000000" w:rsidR="00000000" w:rsidRPr="00000000">
        <w:rPr>
          <w:rtl w:val="0"/>
        </w:rPr>
      </w:r>
    </w:p>
    <w:p w:rsidR="00000000" w:rsidDel="00000000" w:rsidP="00000000" w:rsidRDefault="00000000" w:rsidRPr="00000000" w14:paraId="00000019">
      <w:pPr>
        <w:keepNext w:val="1"/>
        <w:pageBreakBefore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Conflict of Interest Policy of [Organization Legal Name]</w:t>
      </w:r>
      <w:r w:rsidDel="00000000" w:rsidR="00000000" w:rsidRPr="00000000">
        <w:rPr>
          <w:rtl w:val="0"/>
        </w:rPr>
      </w:r>
    </w:p>
    <w:p w:rsidR="00000000" w:rsidDel="00000000" w:rsidP="00000000" w:rsidRDefault="00000000" w:rsidRPr="00000000" w14:paraId="0000001A">
      <w:pPr>
        <w:spacing w:after="200" w:before="0" w:lineRule="auto"/>
        <w:rPr/>
      </w:pPr>
      <w:r w:rsidDel="00000000" w:rsidR="00000000" w:rsidRPr="00000000">
        <w:rPr>
          <w:rFonts w:ascii="Aptos" w:cs="Aptos" w:eastAsia="Aptos" w:hAnsi="Aptos"/>
          <w:b w:val="0"/>
          <w:bCs w:val="0"/>
          <w:i w:val="1"/>
          <w:iCs w:val="1"/>
          <w:color w:val="1d6f5f"/>
          <w:sz w:val="21"/>
          <w:szCs w:val="21"/>
          <w:rtl w:val="0"/>
        </w:rPr>
        <w:t xml:space="preserve">Adopted by the Board of Directors on [Date of Adoption]</w:t>
      </w:r>
      <w:r w:rsidDel="00000000" w:rsidR="00000000" w:rsidRPr="00000000">
        <w:rPr>
          <w:rtl w:val="0"/>
        </w:rPr>
      </w:r>
    </w:p>
    <w:p w:rsidR="00000000" w:rsidDel="00000000" w:rsidP="00000000" w:rsidRDefault="00000000" w:rsidRPr="00000000" w14:paraId="0000001B">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I — Purpose</w:t>
      </w:r>
      <w:r w:rsidDel="00000000" w:rsidR="00000000" w:rsidRPr="00000000">
        <w:rPr>
          <w:rtl w:val="0"/>
        </w:rPr>
      </w:r>
    </w:p>
    <w:p w:rsidR="00000000" w:rsidDel="00000000" w:rsidP="00000000" w:rsidRDefault="00000000" w:rsidRPr="00000000" w14:paraId="0000001C">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This conflict of interest policy is intended to protect the interests of [Organization Legal Name] (the “Organization”) when it is contemplating entering into a transaction or arrangement that might benefit the private interest of a director, officer, or key employee, or might result in a possible excess benefit transaction. This policy is intended to supplement, not replace, any applicable state and federal laws governing conflicts of interest applicable to nonprofit and charitable organizations.</w:t>
      </w:r>
      <w:r w:rsidDel="00000000" w:rsidR="00000000" w:rsidRPr="00000000">
        <w:rPr>
          <w:rtl w:val="0"/>
        </w:rPr>
      </w:r>
    </w:p>
    <w:p w:rsidR="00000000" w:rsidDel="00000000" w:rsidP="00000000" w:rsidRDefault="00000000" w:rsidRPr="00000000" w14:paraId="0000001D">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II — Definitions</w:t>
      </w:r>
      <w:r w:rsidDel="00000000" w:rsidR="00000000" w:rsidRPr="00000000">
        <w:rPr>
          <w:rtl w:val="0"/>
        </w:rPr>
      </w:r>
    </w:p>
    <w:p w:rsidR="00000000" w:rsidDel="00000000" w:rsidP="00000000" w:rsidRDefault="00000000" w:rsidRPr="00000000" w14:paraId="0000001E">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2.1 — Interested Person</w:t>
      </w:r>
      <w:r w:rsidDel="00000000" w:rsidR="00000000" w:rsidRPr="00000000">
        <w:rPr>
          <w:rtl w:val="0"/>
        </w:rPr>
      </w:r>
    </w:p>
    <w:p w:rsidR="00000000" w:rsidDel="00000000" w:rsidP="00000000" w:rsidRDefault="00000000" w:rsidRPr="00000000" w14:paraId="0000001F">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Any director, principal officer, or member of a committee with governing board–delegated powers who has a direct or indirect financial interest, as defined in Section 2.2, is an interested person.</w:t>
      </w:r>
      <w:r w:rsidDel="00000000" w:rsidR="00000000" w:rsidRPr="00000000">
        <w:rPr>
          <w:rtl w:val="0"/>
        </w:rPr>
      </w:r>
    </w:p>
    <w:p w:rsidR="00000000" w:rsidDel="00000000" w:rsidP="00000000" w:rsidRDefault="00000000" w:rsidRPr="00000000" w14:paraId="00000020">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2.2 — Financial Interest</w:t>
      </w:r>
      <w:r w:rsidDel="00000000" w:rsidR="00000000" w:rsidRPr="00000000">
        <w:rPr>
          <w:rtl w:val="0"/>
        </w:rPr>
      </w:r>
    </w:p>
    <w:p w:rsidR="00000000" w:rsidDel="00000000" w:rsidP="00000000" w:rsidRDefault="00000000" w:rsidRPr="00000000" w14:paraId="00000021">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 person has a financial interest if the person has, directly or indirectly, through business, investment, or family:</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an ownership or investment interest in any entity with which the Organization has a transaction or arrangement;</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a compensation arrangement with the Organization or with any entity or individual with which the Organization has a transaction or arrangement; or</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a potential ownership or investment interest in, or compensation arrangement with, any entity or individual with which the Organization is negotiating a transaction or arrangement.</w:t>
      </w:r>
    </w:p>
    <w:p w:rsidR="00000000" w:rsidDel="00000000" w:rsidP="00000000" w:rsidRDefault="00000000" w:rsidRPr="00000000" w14:paraId="00000025">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Compensation includes direct and indirect remuneration as well as gifts or favors that are not insubstantial. A financial interest is not automatically a conflict of interest — a person who has a financial interest may have a conflict of interest only if the appointed board or committee decides, after applying the procedure in Article III, that a conflict of interest exists.</w:t>
      </w:r>
      <w:r w:rsidDel="00000000" w:rsidR="00000000" w:rsidRPr="00000000">
        <w:rPr>
          <w:rtl w:val="0"/>
        </w:rPr>
      </w:r>
    </w:p>
    <w:p w:rsidR="00000000" w:rsidDel="00000000" w:rsidP="00000000" w:rsidRDefault="00000000" w:rsidRPr="00000000" w14:paraId="00000026">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2.3 — Compensation Arrangement</w:t>
      </w:r>
      <w:r w:rsidDel="00000000" w:rsidR="00000000" w:rsidRPr="00000000">
        <w:rPr>
          <w:rtl w:val="0"/>
        </w:rPr>
      </w:r>
    </w:p>
    <w:p w:rsidR="00000000" w:rsidDel="00000000" w:rsidP="00000000" w:rsidRDefault="00000000" w:rsidRPr="00000000" w14:paraId="00000027">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Any arrangement, direct or indirect, under which the Organization provides cash or non-cash compensation, benefits, or other remuneration in exchange for services, property, or the use of property, to a director, officer, key employee, or a Family Member of any of the foregoing, or to an entity in which any of the foregoing has a Financial Interest.</w:t>
      </w:r>
      <w:r w:rsidDel="00000000" w:rsidR="00000000" w:rsidRPr="00000000">
        <w:rPr>
          <w:rtl w:val="0"/>
        </w:rPr>
      </w:r>
    </w:p>
    <w:p w:rsidR="00000000" w:rsidDel="00000000" w:rsidP="00000000" w:rsidRDefault="00000000" w:rsidRPr="00000000" w14:paraId="00000028">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2.4 — Family Member</w:t>
      </w:r>
      <w:r w:rsidDel="00000000" w:rsidR="00000000" w:rsidRPr="00000000">
        <w:rPr>
          <w:rtl w:val="0"/>
        </w:rPr>
      </w:r>
    </w:p>
    <w:p w:rsidR="00000000" w:rsidDel="00000000" w:rsidP="00000000" w:rsidRDefault="00000000" w:rsidRPr="00000000" w14:paraId="00000029">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 spouse or domestic partner; parents; children (whether by birth or adoption); grandchildren; siblings (whether whole or half blood); and the spouses or domestic partners of any of the foregoing. [Confirm this definition against your state's nonprofit corporation act, which may define “family member” more broadly or narrowly.]</w:t>
      </w:r>
      <w:r w:rsidDel="00000000" w:rsidR="00000000" w:rsidRPr="00000000">
        <w:rPr>
          <w:rtl w:val="0"/>
        </w:rPr>
      </w:r>
    </w:p>
    <w:p w:rsidR="00000000" w:rsidDel="00000000" w:rsidP="00000000" w:rsidRDefault="00000000" w:rsidRPr="00000000" w14:paraId="0000002A">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III — Procedures</w:t>
      </w:r>
      <w:r w:rsidDel="00000000" w:rsidR="00000000" w:rsidRPr="00000000">
        <w:rPr>
          <w:rtl w:val="0"/>
        </w:rPr>
      </w:r>
    </w:p>
    <w:p w:rsidR="00000000" w:rsidDel="00000000" w:rsidP="00000000" w:rsidRDefault="00000000" w:rsidRPr="00000000" w14:paraId="0000002B">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3.1 — Duty to Disclose</w:t>
      </w:r>
      <w:r w:rsidDel="00000000" w:rsidR="00000000" w:rsidRPr="00000000">
        <w:rPr>
          <w:rtl w:val="0"/>
        </w:rPr>
      </w:r>
    </w:p>
    <w:p w:rsidR="00000000" w:rsidDel="00000000" w:rsidP="00000000" w:rsidRDefault="00000000" w:rsidRPr="00000000" w14:paraId="0000002C">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In connection with any actual or possible conflict of interest, an interested person must disclose the existence and nature of their financial interest to the directors and members of committees with governing board–delegated powers considering the proposed transaction or arrangement, as soon as the interested person becomes aware of it.</w:t>
      </w:r>
      <w:r w:rsidDel="00000000" w:rsidR="00000000" w:rsidRPr="00000000">
        <w:rPr>
          <w:rtl w:val="0"/>
        </w:rPr>
      </w:r>
    </w:p>
    <w:p w:rsidR="00000000" w:rsidDel="00000000" w:rsidP="00000000" w:rsidRDefault="00000000" w:rsidRPr="00000000" w14:paraId="0000002D">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3.2 — Determining Whether a Conflict of Interest Exists</w:t>
      </w:r>
      <w:r w:rsidDel="00000000" w:rsidR="00000000" w:rsidRPr="00000000">
        <w:rPr>
          <w:rtl w:val="0"/>
        </w:rPr>
      </w:r>
    </w:p>
    <w:p w:rsidR="00000000" w:rsidDel="00000000" w:rsidP="00000000" w:rsidRDefault="00000000" w:rsidRPr="00000000" w14:paraId="0000002E">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After disclosure of the financial interest and all material facts, and after any discussion with the interested person, the interested person shall leave the board or committee meeting while the determination of whether a conflict of interest exists is discussed and voted upon. The remaining board or committee members shall decide whether a conflict of interest exists.</w:t>
      </w:r>
      <w:r w:rsidDel="00000000" w:rsidR="00000000" w:rsidRPr="00000000">
        <w:rPr>
          <w:rtl w:val="0"/>
        </w:rPr>
      </w:r>
    </w:p>
    <w:p w:rsidR="00000000" w:rsidDel="00000000" w:rsidP="00000000" w:rsidRDefault="00000000" w:rsidRPr="00000000" w14:paraId="0000002F">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3.3 — Procedures for Addressing the Conflict of Interest</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The interested person may make a presentation to the board or committee, but after that presentation the interested person shall leave the meeting during the discussion of, and the vote on, the transaction or arrangement.</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The chair of the board or committee may, if appropriate, appoint a disinterested person or committee to investigate alternatives to the proposed transaction or arrangement.</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After exercising due diligence, the board or committee shall determine whether the Organization can obtain a more advantageous transaction or arrangement with reasonable efforts from a person or entity that would not give rise to a conflict of interest.</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If a more advantageous transaction or arrangement is not reasonably attainable under circumstances that would not give rise to a conflict of interest, the board or committee shall determine, by a majority vote of the disinterested directors, whether the transaction or arrangement is in the Organization's best interest and for its own benefit, and whether it is fair and reasonable to the Organization, and shall make its decision as to whether to enter into the transaction or arrangement in conformity with that determination.</w:t>
      </w:r>
    </w:p>
    <w:p w:rsidR="00000000" w:rsidDel="00000000" w:rsidP="00000000" w:rsidRDefault="00000000" w:rsidRPr="00000000" w14:paraId="00000034">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Section 3.4 — Violations of the Conflict of Interest Policy</w:t>
      </w:r>
      <w:r w:rsidDel="00000000" w:rsidR="00000000" w:rsidRPr="00000000">
        <w:rPr>
          <w:rtl w:val="0"/>
        </w:rPr>
      </w:r>
    </w:p>
    <w:p w:rsidR="00000000" w:rsidDel="00000000" w:rsidP="00000000" w:rsidRDefault="00000000" w:rsidRPr="00000000" w14:paraId="00000035">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If the board or committee has reasonable cause to believe a member has failed to disclose an actual or possible conflict of interest, it shall inform the member of the basis for that belief and afford the member an opportunity to explain the alleged failure to disclose. If, after hearing the member's response and making further investigation as warranted by the circumstances, the board or committee determines the member has in fact failed to disclose an actual or possible conflict of interest, it shall take appropriate disciplinary and corrective action, which may include reversal of the transaction, removal from the board or committee, or other action the board deems appropriate under the circumstances.</w:t>
      </w:r>
      <w:r w:rsidDel="00000000" w:rsidR="00000000" w:rsidRPr="00000000">
        <w:rPr>
          <w:rtl w:val="0"/>
        </w:rPr>
      </w:r>
    </w:p>
    <w:p w:rsidR="00000000" w:rsidDel="00000000" w:rsidP="00000000" w:rsidRDefault="00000000" w:rsidRPr="00000000" w14:paraId="00000036">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IV — Records of Proceedings</w:t>
      </w:r>
      <w:r w:rsidDel="00000000" w:rsidR="00000000" w:rsidRPr="00000000">
        <w:rPr>
          <w:rtl w:val="0"/>
        </w:rPr>
      </w:r>
    </w:p>
    <w:p w:rsidR="00000000" w:rsidDel="00000000" w:rsidP="00000000" w:rsidRDefault="00000000" w:rsidRPr="00000000" w14:paraId="00000037">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The minutes of the board and of all committees with board-delegated powers shall contain:</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the names of the persons who disclosed or otherwise were found to have a financial interest in connection with an actual or possible conflict of interest, the nature of the financial interest, any action taken to determine whether a conflict of interest was present, and the board's or committee's decision as to whether a conflict of interest in fact existed; and</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the names of the persons who were present for discussions and votes relating to the transaction or arrangement, the content of the discussion, including any alternatives to the proposed transaction or arrangement that were considered, and a record of any votes taken in connection with the proceedings.</w:t>
      </w:r>
    </w:p>
    <w:p w:rsidR="00000000" w:rsidDel="00000000" w:rsidP="00000000" w:rsidRDefault="00000000" w:rsidRPr="00000000" w14:paraId="0000003A">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V — Compensation</w:t>
      </w:r>
      <w:r w:rsidDel="00000000" w:rsidR="00000000" w:rsidRPr="00000000">
        <w:rPr>
          <w:rtl w:val="0"/>
        </w:rPr>
      </w:r>
    </w:p>
    <w:p w:rsidR="00000000" w:rsidDel="00000000" w:rsidP="00000000" w:rsidRDefault="00000000" w:rsidRPr="00000000" w14:paraId="0000003B">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 voting member of the board or of any committee whose jurisdiction includes compensation matters, and who receives compensation, directly or indirectly, from the Organization for services, is precluded from voting on matters pertaining to that member's own compensation. No voting member of the board or any committee whose jurisdiction includes compensation matters, and who is receiving compensation, directly or indirectly, from the Organization, either individually or collectively, is prohibited from providing information to any committee regarding compensation. No director, officer, or key employee who is precluded from voting under this Article shall participate in any deliberations or votes regarding that person's own compensation, but may be present to answer questions before recusing.</w:t>
      </w:r>
      <w:r w:rsidDel="00000000" w:rsidR="00000000" w:rsidRPr="00000000">
        <w:rPr>
          <w:rtl w:val="0"/>
        </w:rPr>
      </w:r>
    </w:p>
    <w:p w:rsidR="00000000" w:rsidDel="00000000" w:rsidP="00000000" w:rsidRDefault="00000000" w:rsidRPr="00000000" w14:paraId="0000003C">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VI — Annual Statements</w:t>
      </w:r>
      <w:r w:rsidDel="00000000" w:rsidR="00000000" w:rsidRPr="00000000">
        <w:rPr>
          <w:rtl w:val="0"/>
        </w:rPr>
      </w:r>
    </w:p>
    <w:p w:rsidR="00000000" w:rsidDel="00000000" w:rsidP="00000000" w:rsidRDefault="00000000" w:rsidRPr="00000000" w14:paraId="0000003D">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Each director, principal officer, and member of a committee with governing board–delegated powers shall annually sign a statement, in the form of the Annual Disclosure Statement included in this document, which affirms that the person: has received a copy of this conflict of interest policy; has read and understood the policy; has agreed to comply with the policy; and understands the Organization is a charitable organization and, in order to maintain its federal tax-exempt status, must engage primarily in activities that accomplish one or more of its tax-exempt purposes.</w:t>
      </w:r>
      <w:r w:rsidDel="00000000" w:rsidR="00000000" w:rsidRPr="00000000">
        <w:rPr>
          <w:rtl w:val="0"/>
        </w:rPr>
      </w:r>
    </w:p>
    <w:p w:rsidR="00000000" w:rsidDel="00000000" w:rsidP="00000000" w:rsidRDefault="00000000" w:rsidRPr="00000000" w14:paraId="0000003E">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VII — Periodic Reviews</w:t>
      </w:r>
      <w:r w:rsidDel="00000000" w:rsidR="00000000" w:rsidRPr="00000000">
        <w:rPr>
          <w:rtl w:val="0"/>
        </w:rPr>
      </w:r>
    </w:p>
    <w:p w:rsidR="00000000" w:rsidDel="00000000" w:rsidP="00000000" w:rsidRDefault="00000000" w:rsidRPr="00000000" w14:paraId="0000003F">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To ensure the Organization operates in a manner consistent with its charitable purposes and does not engage in activities that could jeopardize its tax-exempt status, the board shall conduct periodic reviews. The periodic reviews shall, at a minimum, consider whether:</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compensation arrangements and benefits are reasonable, based on competent survey information, and the result of arm's-length bargaining;</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partnerships, joint ventures, and arrangements with management organizations conform to the Organization's written policies, are properly recorded, reflect reasonable investment or payments for goods and services, further the Organization's charitable purposes, and do not result in inurement, impermissible private benefit, or an excess benefit transaction.</w:t>
      </w:r>
    </w:p>
    <w:p w:rsidR="00000000" w:rsidDel="00000000" w:rsidP="00000000" w:rsidRDefault="00000000" w:rsidRPr="00000000" w14:paraId="00000042">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Article VIII — Use of Outside Experts (optional)</w:t>
      </w:r>
      <w:r w:rsidDel="00000000" w:rsidR="00000000" w:rsidRPr="00000000">
        <w:rPr>
          <w:rtl w:val="0"/>
        </w:rPr>
      </w:r>
    </w:p>
    <w:p w:rsidR="00000000" w:rsidDel="00000000" w:rsidP="00000000" w:rsidRDefault="00000000" w:rsidRPr="00000000" w14:paraId="00000043">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When conducting the periodic reviews described in Article VII, the Organization may, but need not, use outside advisors — such as legal counsel, accountants, or independent compensation consultants. If outside experts are used, their use shall not relieve the board of its responsibility for ensuring the periodic reviews are conducted.</w:t>
      </w:r>
      <w:r w:rsidDel="00000000" w:rsidR="00000000" w:rsidRPr="00000000">
        <w:rPr>
          <w:rtl w:val="0"/>
        </w:rPr>
      </w:r>
    </w:p>
    <w:tbl>
      <w:tblPr>
        <w:tblStyle w:val="Table3"/>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44">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45">
            <w:pPr>
              <w:spacing w:after="80" w:lineRule="auto"/>
              <w:rPr/>
            </w:pPr>
            <w:r w:rsidDel="00000000" w:rsidR="00000000" w:rsidRPr="00000000">
              <w:rPr>
                <w:rFonts w:ascii="Aptos" w:cs="Aptos" w:eastAsia="Aptos" w:hAnsi="Aptos"/>
                <w:b w:val="1"/>
                <w:bCs w:val="1"/>
                <w:i w:val="0"/>
                <w:iCs w:val="0"/>
                <w:color w:val="1d6f5f"/>
                <w:sz w:val="22"/>
                <w:szCs w:val="22"/>
                <w:rtl w:val="0"/>
              </w:rPr>
              <w:t xml:space="preserve">This article is optional</w:t>
            </w:r>
            <w:r w:rsidDel="00000000" w:rsidR="00000000" w:rsidRPr="00000000">
              <w:rPr>
                <w:rtl w:val="0"/>
              </w:rPr>
            </w:r>
          </w:p>
          <w:p w:rsidR="00000000" w:rsidDel="00000000" w:rsidP="00000000" w:rsidRDefault="00000000" w:rsidRPr="00000000" w14:paraId="00000046">
            <w:pPr>
              <w:spacing w:after="40" w:lineRule="auto"/>
              <w:rPr/>
            </w:pPr>
            <w:r w:rsidDel="00000000" w:rsidR="00000000" w:rsidRPr="00000000">
              <w:rPr>
                <w:rFonts w:ascii="Aptos" w:cs="Aptos" w:eastAsia="Aptos" w:hAnsi="Aptos"/>
                <w:b w:val="0"/>
                <w:bCs w:val="0"/>
                <w:i w:val="0"/>
                <w:iCs w:val="0"/>
                <w:color w:val="0f1f26"/>
                <w:sz w:val="19"/>
                <w:szCs w:val="19"/>
                <w:rtl w:val="0"/>
              </w:rPr>
              <w:t xml:space="preserve">Smaller organizations without budget for outside consultants can rely on comparable-organization compensation surveys and board judgment instead. Keep or delete this article to match your actual practice — Form 990 doesn't require the use of outside experts, only that reviews of the kind described in Article VII actually happen.</w:t>
            </w:r>
            <w:r w:rsidDel="00000000" w:rsidR="00000000" w:rsidRPr="00000000">
              <w:rPr>
                <w:rtl w:val="0"/>
              </w:rPr>
            </w:r>
          </w:p>
        </w:tc>
      </w:tr>
    </w:tbl>
    <w:p w:rsidR="00000000" w:rsidDel="00000000" w:rsidP="00000000" w:rsidRDefault="00000000" w:rsidRPr="00000000" w14:paraId="00000047">
      <w:pPr>
        <w:spacing w:after="280" w:lineRule="auto"/>
        <w:rPr/>
      </w:pPr>
      <w:r w:rsidDel="00000000" w:rsidR="00000000" w:rsidRPr="00000000">
        <w:rPr>
          <w:rtl w:val="0"/>
        </w:rPr>
      </w:r>
    </w:p>
    <w:p w:rsidR="00000000" w:rsidDel="00000000" w:rsidP="00000000" w:rsidRDefault="00000000" w:rsidRPr="00000000" w14:paraId="00000048">
      <w:pPr>
        <w:keepNext w:val="1"/>
        <w:pageBreakBefore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Annual Conflict of Interest Disclosure Statement</w:t>
      </w:r>
      <w:r w:rsidDel="00000000" w:rsidR="00000000" w:rsidRPr="00000000">
        <w:rPr>
          <w:rtl w:val="0"/>
        </w:rPr>
      </w:r>
    </w:p>
    <w:p w:rsidR="00000000" w:rsidDel="00000000" w:rsidP="00000000" w:rsidRDefault="00000000" w:rsidRPr="00000000" w14:paraId="00000049">
      <w:pPr>
        <w:spacing w:after="200" w:before="0" w:lineRule="auto"/>
        <w:rPr/>
      </w:pPr>
      <w:r w:rsidDel="00000000" w:rsidR="00000000" w:rsidRPr="00000000">
        <w:rPr>
          <w:rFonts w:ascii="Aptos" w:cs="Aptos" w:eastAsia="Aptos" w:hAnsi="Aptos"/>
          <w:b w:val="1"/>
          <w:bCs w:val="1"/>
          <w:i w:val="0"/>
          <w:iCs w:val="0"/>
          <w:color w:val="0a222d"/>
          <w:sz w:val="21"/>
          <w:szCs w:val="21"/>
          <w:rtl w:val="0"/>
        </w:rPr>
        <w:t xml:space="preserve">[Organization Legal Name]  •  For fiscal / calendar year: [Year]</w:t>
      </w:r>
      <w:r w:rsidDel="00000000" w:rsidR="00000000" w:rsidRPr="00000000">
        <w:rPr>
          <w:rtl w:val="0"/>
        </w:rPr>
      </w:r>
    </w:p>
    <w:tbl>
      <w:tblPr>
        <w:tblStyle w:val="Table4"/>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4A">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4B">
            <w:pPr>
              <w:spacing w:after="80" w:lineRule="auto"/>
              <w:rPr/>
            </w:pPr>
            <w:r w:rsidDel="00000000" w:rsidR="00000000" w:rsidRPr="00000000">
              <w:rPr>
                <w:rFonts w:ascii="Aptos" w:cs="Aptos" w:eastAsia="Aptos" w:hAnsi="Aptos"/>
                <w:b w:val="1"/>
                <w:bCs w:val="1"/>
                <w:i w:val="0"/>
                <w:iCs w:val="0"/>
                <w:color w:val="1d6f5f"/>
                <w:sz w:val="22"/>
                <w:szCs w:val="22"/>
                <w:rtl w:val="0"/>
              </w:rPr>
              <w:t xml:space="preserve">Instructions</w:t>
            </w:r>
            <w:r w:rsidDel="00000000" w:rsidR="00000000" w:rsidRPr="00000000">
              <w:rPr>
                <w:rtl w:val="0"/>
              </w:rPr>
            </w:r>
          </w:p>
          <w:p w:rsidR="00000000" w:rsidDel="00000000" w:rsidP="00000000" w:rsidRDefault="00000000" w:rsidRPr="00000000" w14:paraId="0000004C">
            <w:pPr>
              <w:spacing w:after="40" w:lineRule="auto"/>
              <w:rPr/>
            </w:pPr>
            <w:r w:rsidDel="00000000" w:rsidR="00000000" w:rsidRPr="00000000">
              <w:rPr>
                <w:rFonts w:ascii="Aptos" w:cs="Aptos" w:eastAsia="Aptos" w:hAnsi="Aptos"/>
                <w:b w:val="0"/>
                <w:bCs w:val="0"/>
                <w:i w:val="0"/>
                <w:iCs w:val="0"/>
                <w:color w:val="0f1f26"/>
                <w:sz w:val="19"/>
                <w:szCs w:val="19"/>
                <w:rtl w:val="0"/>
              </w:rPr>
              <w:t xml:space="preserve">Complete this form in full and sign at the bottom. If you are unsure whether something should be disclosed, disclose it — the board, not you, decides whether a disclosed interest rises to the level of a conflict. This statement is confidential and is retained in the Organization's governance file.</w:t>
            </w:r>
            <w:r w:rsidDel="00000000" w:rsidR="00000000" w:rsidRPr="00000000">
              <w:rPr>
                <w:rtl w:val="0"/>
              </w:rPr>
            </w:r>
          </w:p>
        </w:tc>
      </w:tr>
    </w:tbl>
    <w:p w:rsidR="00000000" w:rsidDel="00000000" w:rsidP="00000000" w:rsidRDefault="00000000" w:rsidRPr="00000000" w14:paraId="0000004D">
      <w:pPr>
        <w:spacing w:after="280" w:lineRule="auto"/>
        <w:rPr/>
      </w:pPr>
      <w:r w:rsidDel="00000000" w:rsidR="00000000" w:rsidRPr="00000000">
        <w:rPr>
          <w:rtl w:val="0"/>
        </w:rPr>
      </w:r>
    </w:p>
    <w:tbl>
      <w:tblPr>
        <w:tblStyle w:val="Table5"/>
        <w:tblW w:w="10166.0" w:type="dxa"/>
        <w:jc w:val="center"/>
        <w:tblBorders>
          <w:top w:color="c9d4d4" w:space="0" w:sz="4" w:val="single"/>
          <w:left w:color="c9d4d4" w:space="0" w:sz="4" w:val="single"/>
          <w:bottom w:color="c9d4d4" w:space="0" w:sz="4" w:val="single"/>
          <w:right w:color="c9d4d4" w:space="0" w:sz="4" w:val="single"/>
          <w:insideH w:color="c9d4d4" w:space="0" w:sz="4" w:val="single"/>
          <w:insideV w:color="c9d4d4" w:space="0" w:sz="4" w:val="single"/>
        </w:tblBorders>
        <w:tblLayout w:type="fixed"/>
        <w:tblLook w:val="0400"/>
      </w:tblPr>
      <w:tblGrid>
        <w:gridCol w:w="4269"/>
        <w:gridCol w:w="3863"/>
        <w:gridCol w:w="2034"/>
        <w:tblGridChange w:id="0">
          <w:tblGrid>
            <w:gridCol w:w="4269"/>
            <w:gridCol w:w="3863"/>
            <w:gridCol w:w="2034"/>
          </w:tblGrid>
        </w:tblGridChange>
      </w:tblGrid>
      <w:tr>
        <w:trPr>
          <w:cantSplit w:val="0"/>
          <w:tblHeader w:val="0"/>
        </w:trPr>
        <w:tc>
          <w:tcPr>
            <w:shd w:fill="0a222d" w:val="clear"/>
            <w:tcMar>
              <w:top w:w="90.0" w:type="dxa"/>
              <w:bottom w:w="90.0" w:type="dxa"/>
            </w:tcMar>
            <w:vAlign w:val="center"/>
          </w:tcPr>
          <w:p w:rsidR="00000000" w:rsidDel="00000000" w:rsidP="00000000" w:rsidRDefault="00000000" w:rsidRPr="00000000" w14:paraId="0000004E">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Name</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4F">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Title / Position</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50">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Date</w:t>
            </w:r>
            <w:r w:rsidDel="00000000" w:rsidR="00000000" w:rsidRPr="00000000">
              <w:rPr>
                <w:rtl w:val="0"/>
              </w:rPr>
            </w:r>
          </w:p>
        </w:tc>
      </w:tr>
      <w:tr>
        <w:trPr>
          <w:cantSplit w:val="0"/>
          <w:tblHeader w:val="0"/>
        </w:trPr>
        <w:tc>
          <w:tcPr>
            <w:shd w:fill="eef4f4" w:val="clear"/>
            <w:tcMar>
              <w:top w:w="90.0" w:type="dxa"/>
              <w:bottom w:w="90.0" w:type="dxa"/>
            </w:tcMar>
            <w:vAlign w:val="center"/>
          </w:tcPr>
          <w:p w:rsidR="00000000" w:rsidDel="00000000" w:rsidP="00000000" w:rsidRDefault="00000000" w:rsidRPr="00000000" w14:paraId="00000051">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[Print Name]</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52">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[Title / Position]</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53">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[Date]</w:t>
            </w:r>
            <w:r w:rsidDel="00000000" w:rsidR="00000000" w:rsidRPr="00000000">
              <w:rPr>
                <w:rtl w:val="0"/>
              </w:rPr>
            </w:r>
          </w:p>
        </w:tc>
      </w:tr>
    </w:tbl>
    <w:p w:rsidR="00000000" w:rsidDel="00000000" w:rsidP="00000000" w:rsidRDefault="00000000" w:rsidRPr="00000000" w14:paraId="00000054">
      <w:pPr>
        <w:spacing w:after="280" w:lineRule="auto"/>
        <w:rPr/>
      </w:pPr>
      <w:r w:rsidDel="00000000" w:rsidR="00000000" w:rsidRPr="00000000">
        <w:rPr>
          <w:rtl w:val="0"/>
        </w:rPr>
      </w:r>
    </w:p>
    <w:p w:rsidR="00000000" w:rsidDel="00000000" w:rsidP="00000000" w:rsidRDefault="00000000" w:rsidRPr="00000000" w14:paraId="00000055">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1. Do you, or does a Family Member, have a financial interest (ownership, investment, or compensation arrangement) in any entity that does business, or is negotiating to do business, with [Organization Legal Name]?</w:t>
      </w:r>
      <w:r w:rsidDel="00000000" w:rsidR="00000000" w:rsidRPr="00000000">
        <w:rPr>
          <w:rtl w:val="0"/>
        </w:rPr>
      </w:r>
    </w:p>
    <w:p w:rsidR="00000000" w:rsidDel="00000000" w:rsidP="00000000" w:rsidRDefault="00000000" w:rsidRPr="00000000" w14:paraId="00000056">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 Yes     ☐ No     If yes, describe (attach additional pages if needed):</w:t>
      </w:r>
      <w:r w:rsidDel="00000000" w:rsidR="00000000" w:rsidRPr="00000000">
        <w:rPr>
          <w:rtl w:val="0"/>
        </w:rPr>
      </w:r>
    </w:p>
    <w:p w:rsidR="00000000" w:rsidDel="00000000" w:rsidP="00000000" w:rsidRDefault="00000000" w:rsidRPr="00000000" w14:paraId="00000057">
      <w:pPr>
        <w:spacing w:after="240" w:before="0" w:lineRule="auto"/>
        <w:rPr/>
      </w:pPr>
      <w:r w:rsidDel="00000000" w:rsidR="00000000" w:rsidRPr="00000000">
        <w:rPr>
          <w:rFonts w:ascii="Aptos" w:cs="Aptos" w:eastAsia="Aptos" w:hAnsi="Aptos"/>
          <w:b w:val="0"/>
          <w:bCs w:val="0"/>
          <w:i w:val="0"/>
          <w:iCs w:val="0"/>
          <w:color w:val="5a6770"/>
          <w:sz w:val="21"/>
          <w:szCs w:val="21"/>
          <w:rtl w:val="0"/>
        </w:rPr>
        <w:t xml:space="preserve">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58">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2. Do you, or does a Family Member, receive compensation from [Organization Legal Name], or from any entity or individual with which [Organization Legal Name] has a transaction or arrangement, other than reimbursement of reasonable expenses?</w:t>
      </w:r>
      <w:r w:rsidDel="00000000" w:rsidR="00000000" w:rsidRPr="00000000">
        <w:rPr>
          <w:rtl w:val="0"/>
        </w:rPr>
      </w:r>
    </w:p>
    <w:p w:rsidR="00000000" w:rsidDel="00000000" w:rsidP="00000000" w:rsidRDefault="00000000" w:rsidRPr="00000000" w14:paraId="00000059">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 Yes     ☐ No     If yes, describe (attach additional pages if needed):</w:t>
      </w:r>
      <w:r w:rsidDel="00000000" w:rsidR="00000000" w:rsidRPr="00000000">
        <w:rPr>
          <w:rtl w:val="0"/>
        </w:rPr>
      </w:r>
    </w:p>
    <w:p w:rsidR="00000000" w:rsidDel="00000000" w:rsidP="00000000" w:rsidRDefault="00000000" w:rsidRPr="00000000" w14:paraId="0000005A">
      <w:pPr>
        <w:spacing w:after="240" w:before="0" w:lineRule="auto"/>
        <w:rPr/>
      </w:pPr>
      <w:r w:rsidDel="00000000" w:rsidR="00000000" w:rsidRPr="00000000">
        <w:rPr>
          <w:rFonts w:ascii="Aptos" w:cs="Aptos" w:eastAsia="Aptos" w:hAnsi="Aptos"/>
          <w:b w:val="0"/>
          <w:bCs w:val="0"/>
          <w:i w:val="0"/>
          <w:iCs w:val="0"/>
          <w:color w:val="5a6770"/>
          <w:sz w:val="21"/>
          <w:szCs w:val="21"/>
          <w:rtl w:val="0"/>
        </w:rPr>
        <w:t xml:space="preserve">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5B">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3. Do you serve as a director, officer, trustee, or key employee of any other organization that does business with, competes with, or receives grants or contracts from [Organization Legal Name]?</w:t>
      </w:r>
      <w:r w:rsidDel="00000000" w:rsidR="00000000" w:rsidRPr="00000000">
        <w:rPr>
          <w:rtl w:val="0"/>
        </w:rPr>
      </w:r>
    </w:p>
    <w:p w:rsidR="00000000" w:rsidDel="00000000" w:rsidP="00000000" w:rsidRDefault="00000000" w:rsidRPr="00000000" w14:paraId="0000005C">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 Yes     ☐ No     If yes, describe (attach additional pages if needed):</w:t>
      </w:r>
      <w:r w:rsidDel="00000000" w:rsidR="00000000" w:rsidRPr="00000000">
        <w:rPr>
          <w:rtl w:val="0"/>
        </w:rPr>
      </w:r>
    </w:p>
    <w:p w:rsidR="00000000" w:rsidDel="00000000" w:rsidP="00000000" w:rsidRDefault="00000000" w:rsidRPr="00000000" w14:paraId="0000005D">
      <w:pPr>
        <w:spacing w:after="240" w:before="0" w:lineRule="auto"/>
        <w:rPr/>
      </w:pPr>
      <w:r w:rsidDel="00000000" w:rsidR="00000000" w:rsidRPr="00000000">
        <w:rPr>
          <w:rFonts w:ascii="Aptos" w:cs="Aptos" w:eastAsia="Aptos" w:hAnsi="Aptos"/>
          <w:b w:val="0"/>
          <w:bCs w:val="0"/>
          <w:i w:val="0"/>
          <w:iCs w:val="0"/>
          <w:color w:val="5a6770"/>
          <w:sz w:val="21"/>
          <w:szCs w:val="21"/>
          <w:rtl w:val="0"/>
        </w:rPr>
        <w:t xml:space="preserve">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5E">
      <w:pPr>
        <w:keepNext w:val="1"/>
        <w:spacing w:after="120" w:before="280" w:lineRule="auto"/>
        <w:rPr/>
      </w:pPr>
      <w:r w:rsidDel="00000000" w:rsidR="00000000" w:rsidRPr="00000000">
        <w:rPr>
          <w:rFonts w:ascii="Aptos" w:cs="Aptos" w:eastAsia="Aptos" w:hAnsi="Aptos"/>
          <w:b w:val="1"/>
          <w:bCs w:val="1"/>
          <w:i w:val="0"/>
          <w:iCs w:val="0"/>
          <w:color w:val="1d6f5f"/>
          <w:sz w:val="22"/>
          <w:szCs w:val="22"/>
          <w:rtl w:val="0"/>
        </w:rPr>
        <w:t xml:space="preserve">4. Are you aware of any other situation, relationship, or transaction not described above that could reasonably be viewed as a conflict of interest?</w:t>
      </w:r>
      <w:r w:rsidDel="00000000" w:rsidR="00000000" w:rsidRPr="00000000">
        <w:rPr>
          <w:rtl w:val="0"/>
        </w:rPr>
      </w:r>
    </w:p>
    <w:p w:rsidR="00000000" w:rsidDel="00000000" w:rsidP="00000000" w:rsidRDefault="00000000" w:rsidRPr="00000000" w14:paraId="0000005F">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 Yes     ☐ No     If yes, describe (attach additional pages if needed):</w:t>
      </w:r>
      <w:r w:rsidDel="00000000" w:rsidR="00000000" w:rsidRPr="00000000">
        <w:rPr>
          <w:rtl w:val="0"/>
        </w:rPr>
      </w:r>
    </w:p>
    <w:p w:rsidR="00000000" w:rsidDel="00000000" w:rsidP="00000000" w:rsidRDefault="00000000" w:rsidRPr="00000000" w14:paraId="00000060">
      <w:pPr>
        <w:spacing w:after="240" w:before="0" w:lineRule="auto"/>
        <w:rPr/>
      </w:pPr>
      <w:r w:rsidDel="00000000" w:rsidR="00000000" w:rsidRPr="00000000">
        <w:rPr>
          <w:rFonts w:ascii="Aptos" w:cs="Aptos" w:eastAsia="Aptos" w:hAnsi="Aptos"/>
          <w:b w:val="0"/>
          <w:bCs w:val="0"/>
          <w:i w:val="0"/>
          <w:iCs w:val="0"/>
          <w:color w:val="5a6770"/>
          <w:sz w:val="21"/>
          <w:szCs w:val="21"/>
          <w:rtl w:val="0"/>
        </w:rPr>
        <w:t xml:space="preserve">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61">
      <w:pPr>
        <w:pBdr>
          <w:bottom w:color="2bb7a3" w:space="1" w:sz="6" w:val="single"/>
        </w:pBdr>
        <w:spacing w:after="160" w:before="160" w:lineRule="auto"/>
        <w:rPr/>
      </w:pPr>
      <w:r w:rsidDel="00000000" w:rsidR="00000000" w:rsidRPr="00000000">
        <w:rPr>
          <w:rtl w:val="0"/>
        </w:rPr>
      </w:r>
    </w:p>
    <w:p w:rsidR="00000000" w:rsidDel="00000000" w:rsidP="00000000" w:rsidRDefault="00000000" w:rsidRPr="00000000" w14:paraId="00000062">
      <w:pPr>
        <w:spacing w:after="120" w:before="0" w:lineRule="auto"/>
        <w:rPr/>
      </w:pPr>
      <w:r w:rsidDel="00000000" w:rsidR="00000000" w:rsidRPr="00000000">
        <w:rPr>
          <w:rFonts w:ascii="Aptos" w:cs="Aptos" w:eastAsia="Aptos" w:hAnsi="Aptos"/>
          <w:b w:val="1"/>
          <w:bCs w:val="1"/>
          <w:i w:val="0"/>
          <w:iCs w:val="0"/>
          <w:color w:val="0a222d"/>
          <w:sz w:val="21"/>
          <w:szCs w:val="21"/>
          <w:rtl w:val="0"/>
        </w:rPr>
        <w:t xml:space="preserve">Certification</w:t>
      </w:r>
      <w:r w:rsidDel="00000000" w:rsidR="00000000" w:rsidRPr="00000000">
        <w:rPr>
          <w:rtl w:val="0"/>
        </w:rPr>
      </w:r>
    </w:p>
    <w:p w:rsidR="00000000" w:rsidDel="00000000" w:rsidP="00000000" w:rsidRDefault="00000000" w:rsidRPr="00000000" w14:paraId="00000063">
      <w:pPr>
        <w:spacing w:after="320" w:before="0" w:lineRule="auto"/>
        <w:rPr/>
      </w:pPr>
      <w:r w:rsidDel="00000000" w:rsidR="00000000" w:rsidRPr="00000000">
        <w:rPr>
          <w:rFonts w:ascii="Aptos" w:cs="Aptos" w:eastAsia="Aptos" w:hAnsi="Aptos"/>
          <w:b w:val="0"/>
          <w:bCs w:val="0"/>
          <w:i w:val="0"/>
          <w:iCs w:val="0"/>
          <w:color w:val="0f1f26"/>
          <w:sz w:val="21"/>
          <w:szCs w:val="21"/>
          <w:rtl w:val="0"/>
        </w:rPr>
        <w:t xml:space="preserve">I certify that I have received and read a copy of [Organization Legal Name]'s Conflict of Interest Policy, that I understand it, and that I agree to comply with it. I understand that [Organization Legal Name] is a charitable organization and that, in order to maintain its federal tax-exempt status, it must engage primarily in activities that accomplish one or more of its tax-exempt purposes. I further understand that the information provided above is true and complete to the best of my knowledge, and that I am obligated to disclose any material changes to this information as they occur, not only at the next annual cycle.</w:t>
      </w:r>
      <w:r w:rsidDel="00000000" w:rsidR="00000000" w:rsidRPr="00000000">
        <w:rPr>
          <w:rtl w:val="0"/>
        </w:rPr>
      </w:r>
    </w:p>
    <w:tbl>
      <w:tblPr>
        <w:tblStyle w:val="Table6"/>
        <w:tblW w:w="10166.0" w:type="dxa"/>
        <w:jc w:val="center"/>
        <w:tblBorders>
          <w:top w:color="c9d4d4" w:space="0" w:sz="4" w:val="single"/>
          <w:left w:color="c9d4d4" w:space="0" w:sz="4" w:val="single"/>
          <w:bottom w:color="c9d4d4" w:space="0" w:sz="4" w:val="single"/>
          <w:right w:color="c9d4d4" w:space="0" w:sz="4" w:val="single"/>
          <w:insideH w:color="c9d4d4" w:space="0" w:sz="4" w:val="single"/>
          <w:insideV w:color="c9d4d4" w:space="0" w:sz="4" w:val="single"/>
        </w:tblBorders>
        <w:tblLayout w:type="fixed"/>
        <w:tblLook w:val="0400"/>
      </w:tblPr>
      <w:tblGrid>
        <w:gridCol w:w="4269"/>
        <w:gridCol w:w="3659"/>
        <w:gridCol w:w="2238"/>
        <w:tblGridChange w:id="0">
          <w:tblGrid>
            <w:gridCol w:w="4269"/>
            <w:gridCol w:w="3659"/>
            <w:gridCol w:w="2238"/>
          </w:tblGrid>
        </w:tblGridChange>
      </w:tblGrid>
      <w:tr>
        <w:trPr>
          <w:cantSplit w:val="0"/>
          <w:tblHeader w:val="0"/>
        </w:trPr>
        <w:tc>
          <w:tcPr>
            <w:shd w:fill="0a222d" w:val="clear"/>
            <w:tcMar>
              <w:top w:w="90.0" w:type="dxa"/>
              <w:bottom w:w="90.0" w:type="dxa"/>
            </w:tcMar>
            <w:vAlign w:val="center"/>
          </w:tcPr>
          <w:p w:rsidR="00000000" w:rsidDel="00000000" w:rsidP="00000000" w:rsidRDefault="00000000" w:rsidRPr="00000000" w14:paraId="00000064">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Signature</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65">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Print Name</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66">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Date</w:t>
            </w:r>
            <w:r w:rsidDel="00000000" w:rsidR="00000000" w:rsidRPr="00000000">
              <w:rPr>
                <w:rtl w:val="0"/>
              </w:rPr>
            </w:r>
          </w:p>
        </w:tc>
      </w:tr>
      <w:tr>
        <w:trPr>
          <w:cantSplit w:val="0"/>
          <w:tblHeader w:val="0"/>
        </w:trPr>
        <w:tc>
          <w:tcPr>
            <w:shd w:fill="ffffff" w:val="clear"/>
            <w:tcMar>
              <w:top w:w="90.0" w:type="dxa"/>
              <w:bottom w:w="90.0" w:type="dxa"/>
            </w:tcMar>
            <w:vAlign w:val="center"/>
          </w:tcPr>
          <w:p w:rsidR="00000000" w:rsidDel="00000000" w:rsidP="00000000" w:rsidRDefault="00000000" w:rsidRPr="00000000" w14:paraId="00000067">
            <w:pPr>
              <w:spacing w:after="40" w:before="40" w:lineRule="auto"/>
              <w:rPr/>
            </w:pP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68">
            <w:pPr>
              <w:spacing w:after="40" w:before="40" w:lineRule="auto"/>
              <w:rPr/>
            </w:pP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69">
            <w:pPr>
              <w:spacing w:after="40" w:before="40" w:lineRule="auto"/>
              <w:rPr/>
            </w:pPr>
            <w:r w:rsidDel="00000000" w:rsidR="00000000" w:rsidRPr="00000000">
              <w:rPr>
                <w:rtl w:val="0"/>
              </w:rPr>
            </w:r>
          </w:p>
        </w:tc>
      </w:tr>
    </w:tbl>
    <w:p w:rsidR="00000000" w:rsidDel="00000000" w:rsidP="00000000" w:rsidRDefault="00000000" w:rsidRPr="00000000" w14:paraId="0000006A">
      <w:pPr>
        <w:spacing w:after="280" w:lineRule="auto"/>
        <w:rPr/>
      </w:pPr>
      <w:r w:rsidDel="00000000" w:rsidR="00000000" w:rsidRPr="00000000">
        <w:rPr>
          <w:rtl w:val="0"/>
        </w:rPr>
      </w:r>
    </w:p>
    <w:p w:rsidR="00000000" w:rsidDel="00000000" w:rsidP="00000000" w:rsidRDefault="00000000" w:rsidRPr="00000000" w14:paraId="0000006B">
      <w:pPr>
        <w:spacing w:after="200" w:before="0" w:lineRule="auto"/>
        <w:rPr/>
      </w:pPr>
      <w:r w:rsidDel="00000000" w:rsidR="00000000" w:rsidRPr="00000000">
        <w:rPr>
          <w:rFonts w:ascii="Aptos" w:cs="Aptos" w:eastAsia="Aptos" w:hAnsi="Aptos"/>
          <w:b w:val="0"/>
          <w:bCs w:val="0"/>
          <w:i w:val="1"/>
          <w:iCs w:val="1"/>
          <w:color w:val="5a6770"/>
          <w:sz w:val="21"/>
          <w:szCs w:val="21"/>
          <w:rtl w:val="0"/>
        </w:rPr>
        <w:t xml:space="preserve">Retain in the confidential governance file. Renew annually and whenever a director, officer, or key employee's outside affiliations materially change.</w:t>
      </w:r>
      <w:r w:rsidDel="00000000" w:rsidR="00000000" w:rsidRPr="00000000">
        <w:rPr>
          <w:rtl w:val="0"/>
        </w:rPr>
      </w:r>
    </w:p>
    <w:p w:rsidR="00000000" w:rsidDel="00000000" w:rsidP="00000000" w:rsidRDefault="00000000" w:rsidRPr="00000000" w14:paraId="0000006C">
      <w:pPr>
        <w:keepNext w:val="1"/>
        <w:pageBreakBefore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Disclaimers</w:t>
      </w:r>
      <w:r w:rsidDel="00000000" w:rsidR="00000000" w:rsidRPr="00000000">
        <w:rPr>
          <w:rtl w:val="0"/>
        </w:rPr>
      </w:r>
    </w:p>
    <w:tbl>
      <w:tblPr>
        <w:tblStyle w:val="Table7"/>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6D">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6E">
            <w:pPr>
              <w:spacing w:after="80" w:lineRule="auto"/>
              <w:rPr/>
            </w:pPr>
            <w:r w:rsidDel="00000000" w:rsidR="00000000" w:rsidRPr="00000000">
              <w:rPr>
                <w:rFonts w:ascii="Aptos" w:cs="Aptos" w:eastAsia="Aptos" w:hAnsi="Aptos"/>
                <w:b w:val="1"/>
                <w:bCs w:val="1"/>
                <w:i w:val="0"/>
                <w:iCs w:val="0"/>
                <w:color w:val="0a222d"/>
                <w:sz w:val="22"/>
                <w:szCs w:val="22"/>
                <w:rtl w:val="0"/>
              </w:rPr>
              <w:t xml:space="preserve">GENERAL TEMPLATE — NOT TAX OR LEGAL ADVICE</w:t>
            </w:r>
            <w:r w:rsidDel="00000000" w:rsidR="00000000" w:rsidRPr="00000000">
              <w:rPr>
                <w:rtl w:val="0"/>
              </w:rPr>
            </w:r>
          </w:p>
          <w:p w:rsidR="00000000" w:rsidDel="00000000" w:rsidP="00000000" w:rsidRDefault="00000000" w:rsidRPr="00000000" w14:paraId="0000006F">
            <w:pPr>
              <w:spacing w:after="80" w:lineRule="auto"/>
              <w:rPr/>
            </w:pPr>
            <w:r w:rsidDel="00000000" w:rsidR="00000000" w:rsidRPr="00000000">
              <w:rPr>
                <w:rFonts w:ascii="Aptos" w:cs="Aptos" w:eastAsia="Aptos" w:hAnsi="Aptos"/>
                <w:b w:val="0"/>
                <w:bCs w:val="0"/>
                <w:i w:val="0"/>
                <w:iCs w:val="0"/>
                <w:color w:val="0f1f26"/>
                <w:sz w:val="19"/>
                <w:szCs w:val="19"/>
                <w:rtl w:val="0"/>
              </w:rPr>
              <w:t xml:space="preserve">This document references IRS Form 990, Part VI, Line 12, which asks whether an organization has a written conflict of interest policy, requires annual disclosure, and regularly monitors and enforces compliance. This template is a starting point intended to help organizations build a policy that supports a “yes” answer to that question — it is not tax advice, and having this document alone does not guarantee compliance with IRS expectations or with the requirements of Form 990.</w:t>
            </w:r>
            <w:r w:rsidDel="00000000" w:rsidR="00000000" w:rsidRPr="00000000">
              <w:rPr>
                <w:rtl w:val="0"/>
              </w:rPr>
            </w:r>
          </w:p>
          <w:p w:rsidR="00000000" w:rsidDel="00000000" w:rsidP="00000000" w:rsidRDefault="00000000" w:rsidRPr="00000000" w14:paraId="00000070">
            <w:pPr>
              <w:spacing w:after="80" w:lineRule="auto"/>
              <w:rPr/>
            </w:pPr>
            <w:r w:rsidDel="00000000" w:rsidR="00000000" w:rsidRPr="00000000">
              <w:rPr>
                <w:rFonts w:ascii="Aptos" w:cs="Aptos" w:eastAsia="Aptos" w:hAnsi="Aptos"/>
                <w:b w:val="0"/>
                <w:bCs w:val="0"/>
                <w:i w:val="0"/>
                <w:iCs w:val="0"/>
                <w:color w:val="0f1f26"/>
                <w:sz w:val="19"/>
                <w:szCs w:val="19"/>
                <w:rtl w:val="0"/>
              </w:rPr>
              <w:t xml:space="preserve">Nonprofit governance requirements, including conflict of interest and self-dealing rules, vary by state and may impose additional or different requirements than those reflected here. Adapt this policy to your organization's actual board size, committee structure, membership status, and state nonprofit corporation act before your board adopts it.</w:t>
            </w:r>
            <w:r w:rsidDel="00000000" w:rsidR="00000000" w:rsidRPr="00000000">
              <w:rPr>
                <w:rtl w:val="0"/>
              </w:rPr>
            </w:r>
          </w:p>
          <w:p w:rsidR="00000000" w:rsidDel="00000000" w:rsidP="00000000" w:rsidRDefault="00000000" w:rsidRPr="00000000" w14:paraId="00000071">
            <w:pPr>
              <w:spacing w:after="40" w:lineRule="auto"/>
              <w:rPr/>
            </w:pPr>
            <w:r w:rsidDel="00000000" w:rsidR="00000000" w:rsidRPr="00000000">
              <w:rPr>
                <w:rFonts w:ascii="Aptos" w:cs="Aptos" w:eastAsia="Aptos" w:hAnsi="Aptos"/>
                <w:b w:val="0"/>
                <w:bCs w:val="0"/>
                <w:i w:val="0"/>
                <w:iCs w:val="0"/>
                <w:color w:val="0f1f26"/>
                <w:sz w:val="19"/>
                <w:szCs w:val="19"/>
                <w:rtl w:val="0"/>
              </w:rPr>
              <w:t xml:space="preserve">Have this policy reviewed by a licensed attorney in your state before adoption. Salish Sea Consulting is not a law firm, and use of this template does not create an attorney-client relationship with Salish Sea Consulting.</w:t>
            </w:r>
            <w:r w:rsidDel="00000000" w:rsidR="00000000" w:rsidRPr="00000000">
              <w:rPr>
                <w:rtl w:val="0"/>
              </w:rPr>
            </w:r>
          </w:p>
        </w:tc>
      </w:tr>
    </w:tbl>
    <w:p w:rsidR="00000000" w:rsidDel="00000000" w:rsidP="00000000" w:rsidRDefault="00000000" w:rsidRPr="00000000" w14:paraId="00000072">
      <w:pPr>
        <w:spacing w:after="120" w:lineRule="auto"/>
        <w:rPr/>
      </w:pPr>
      <w:r w:rsidDel="00000000" w:rsidR="00000000" w:rsidRPr="00000000">
        <w:rPr>
          <w:rtl w:val="0"/>
        </w:rPr>
      </w:r>
    </w:p>
    <w:sectPr>
      <w:headerReference r:id="rId6" w:type="default"/>
      <w:footerReference r:id="rId7" w:type="default"/>
      <w:pgSz w:h="15840" w:w="12240" w:orient="portrait"/>
      <w:pgMar w:bottom="893" w:top="893" w:left="1037" w:right="10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f1f26"/>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tl w:val="0"/>
      </w:rPr>
      <w:t xml:space="preserve">Nonprofit Conflict of Interest Policy Template  •  salishseaconsulting.com  •  </w:t>
    </w: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0" w:line="240" w:lineRule="auto"/>
      <w:ind w:left="0" w:right="0" w:firstLine="0"/>
      <w:jc w:val="left"/>
      <w:rPr>
        <w:rFonts w:ascii="Aptos" w:cs="Aptos" w:eastAsia="Aptos" w:hAnsi="Aptos"/>
        <w:b w:val="0"/>
        <w:bCs w:val="0"/>
        <w:i w:val="0"/>
        <w:iCs w:val="0"/>
        <w:smallCaps w:val="0"/>
        <w:strike w:val="0"/>
        <w:color w:val="0f1f26"/>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Pr>
      <w:drawing>
        <wp:inline distB="0" distT="0" distL="114300" distR="114300">
          <wp:extent cx="639136" cy="2926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136" cy="292608"/>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pBdr>
        <w:bottom w:color="dde6e6" w:space="4" w:sz="4" w:val="single"/>
      </w:pBdr>
      <w:jc w:val="right"/>
      <w:rPr/>
    </w:pPr>
    <w:r w:rsidDel="00000000" w:rsidR="00000000" w:rsidRPr="00000000">
      <w:rPr>
        <w:rFonts w:ascii="Aptos" w:cs="Aptos" w:eastAsia="Aptos" w:hAnsi="Aptos"/>
        <w:b w:val="1"/>
        <w:bCs w:val="1"/>
        <w:color w:val="2bb7a3"/>
        <w:sz w:val="16"/>
        <w:szCs w:val="16"/>
        <w:rtl w:val="0"/>
      </w:rPr>
      <w:t xml:space="preserve">SALISH SEA CONSULTING  /  TEMPLATE LIBRARY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0f1f26"/>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