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left"/>
      </w:pPr>
      <w:r>
        <w:drawing>
          <wp:inline xmlns:a="http://schemas.openxmlformats.org/drawingml/2006/main" xmlns:pic="http://schemas.openxmlformats.org/drawingml/2006/picture">
            <wp:extent cx="1417320" cy="648874"/>
            <wp:docPr id="1" name="Picture 1"/>
            <wp:cNvGraphicFramePr>
              <a:graphicFrameLocks noChangeAspect="1"/>
            </wp:cNvGraphicFramePr>
            <a:graphic>
              <a:graphicData uri="http://schemas.openxmlformats.org/drawingml/2006/picture">
                <pic:pic>
                  <pic:nvPicPr>
                    <pic:cNvPr id="0" name="ssc-logo.png"/>
                    <pic:cNvPicPr/>
                  </pic:nvPicPr>
                  <pic:blipFill>
                    <a:blip r:embed="rId11"/>
                    <a:stretch>
                      <a:fillRect/>
                    </a:stretch>
                  </pic:blipFill>
                  <pic:spPr>
                    <a:xfrm>
                      <a:off x="0" y="0"/>
                      <a:ext cx="1417320" cy="648874"/>
                    </a:xfrm>
                    <a:prstGeom prst="rect"/>
                  </pic:spPr>
                </pic:pic>
              </a:graphicData>
            </a:graphic>
          </wp:inline>
        </w:drawing>
      </w:r>
    </w:p>
    <w:p>
      <w:pPr>
        <w:pStyle w:val="Eyebrow"/>
      </w:pPr>
      <w:r>
        <w:t>MARKETING STRATEGY &amp; TECHNICAL SEO</w:t>
      </w:r>
    </w:p>
    <w:p>
      <w:pPr>
        <w:pStyle w:val="Title"/>
      </w:pPr>
      <w:r>
        <w:t>SEO Audit Report Template</w:t>
      </w:r>
    </w:p>
    <w:p>
      <w:pPr>
        <w:spacing w:after="320"/>
      </w:pPr>
      <w:r>
        <w:rPr>
          <w:rFonts w:ascii="Aptos" w:hAnsi="Aptos"/>
          <w:color w:val="14515E"/>
          <w:sz w:val="28"/>
        </w:rPr>
        <w:t>Turn a crawl into a short, evidence-backed fix list that owners and developers can act on.</w:t>
      </w:r>
    </w:p>
    <w:p>
      <w:pPr>
        <w:spacing w:before="1800" w:after="160"/>
      </w:pPr>
      <w:r>
        <w:rPr>
          <w:rFonts w:ascii="Aptos" w:hAnsi="Aptos"/>
          <w:b/>
          <w:color w:val="2BB7A3"/>
          <w:sz w:val="17"/>
        </w:rPr>
        <w:t>VERSION 1.0  •  AUGUST 2026</w:t>
      </w:r>
    </w:p>
    <w:p>
      <w:r>
        <w:rPr>
          <w:rFonts w:ascii="Aptos" w:hAnsi="Aptos"/>
          <w:color w:val="5A6770"/>
          <w:sz w:val="20"/>
        </w:rPr>
        <w:t>Built for clear decisions, defensible communication, and practical reuse.</w:t>
      </w:r>
    </w:p>
    <w:p>
      <w:r>
        <w:br w:type="page"/>
      </w:r>
    </w:p>
    <w:p>
      <w:pPr>
        <w:pStyle w:val="Heading1"/>
        <w:keepNext/>
      </w:pPr>
      <w:r>
        <w:t>How to use this template</w:t>
      </w:r>
    </w:p>
    <w:p>
      <w:r>
        <w:t>This report is designed for evidence-led triage. Start with the site’s goals and Search Console baseline, collect crawl and rendering evidence, and promote an issue into the final fix list only when you can explain the affected area, likely effect, confidence, owner, implementation path, and validation method.</w:t>
      </w:r>
    </w:p>
    <w:p>
      <w:pPr>
        <w:pStyle w:val="ListNumber"/>
        <w:spacing w:after="60"/>
      </w:pPr>
      <w:r>
        <w:t>Define the site boundary, priority conversions, primary search markets, and audit date.</w:t>
      </w:r>
    </w:p>
    <w:p>
      <w:pPr>
        <w:pStyle w:val="ListNumber"/>
        <w:spacing w:after="60"/>
      </w:pPr>
      <w:r>
        <w:t>Export crawl, Search Console, analytics, Core Web Vitals, sitemap, robots, redirect, and structured-data evidence.</w:t>
      </w:r>
    </w:p>
    <w:p>
      <w:pPr>
        <w:pStyle w:val="ListNumber"/>
        <w:spacing w:after="60"/>
      </w:pPr>
      <w:r>
        <w:t>Review the nine issue classes; separate confirmed issues from tool warnings and hypotheses.</w:t>
      </w:r>
    </w:p>
    <w:p>
      <w:pPr>
        <w:pStyle w:val="ListNumber"/>
        <w:spacing w:after="60"/>
      </w:pPr>
      <w:r>
        <w:t>Score each confirmed issue in the companion workbook using business impact, organic evidence, affected scale, confidence, and effort.</w:t>
      </w:r>
    </w:p>
    <w:p>
      <w:pPr>
        <w:pStyle w:val="ListNumber"/>
        <w:spacing w:after="60"/>
      </w:pPr>
      <w:r>
        <w:t>Write the executive summary after prioritization. Keep the immediate fix list short enough to execute.</w:t>
      </w:r>
    </w:p>
    <w:p>
      <w:pPr>
        <w:pStyle w:val="ListNumber"/>
        <w:spacing w:after="60"/>
      </w:pPr>
      <w:r>
        <w:t>Record the pre-fix baseline and validation method before implementation begins.</w:t>
      </w:r>
    </w:p>
    <w:tbl>
      <w:tblPr>
        <w:tblW w:type="auto" w:w="0"/>
        <w:jc w:val="center"/>
        <w:tblLayout w:type="fixed"/>
        <w:tblLook w:firstColumn="1" w:firstRow="1" w:lastColumn="0" w:lastRow="0" w:noHBand="0" w:noVBand="1" w:val="04A0"/>
      </w:tblPr>
      <w:tblGrid>
        <w:gridCol w:w="173"/>
        <w:gridCol w:w="9720"/>
      </w:tblGrid>
      <w:tr>
        <w:trPr>
          <w:cantSplit/>
        </w:trPr>
        <w:tc>
          <w:tcPr>
            <w:tcW w:type="dxa" w:w="5083"/>
            <w:shd w:fill="2BB7A3"/>
            <w:tcMar>
              <w:top w:w="40" w:type="dxa"/>
              <w:start w:w="20" w:type="dxa"/>
              <w:bottom w:w="40" w:type="dxa"/>
              <w:end w:w="20" w:type="dxa"/>
            </w:tcMar>
            <w:tcBorders>
              <w:top w:val="nil"/>
              <w:left w:val="nil"/>
              <w:bottom w:val="nil"/>
              <w:right w:val="nil"/>
            </w:tcBorders>
          </w:tcPr>
          <w:p>
            <w:r/>
          </w:p>
        </w:tc>
        <w:tc>
          <w:tcPr>
            <w:tcW w:type="dxa" w:w="5083"/>
            <w:shd w:fill="EEF4F4"/>
            <w:tcMar>
              <w:top w:w="130" w:type="dxa"/>
              <w:start w:w="170" w:type="dxa"/>
              <w:bottom w:w="130" w:type="dxa"/>
              <w:end w:w="170" w:type="dxa"/>
            </w:tcMar>
            <w:tcBorders>
              <w:top w:val="nil"/>
              <w:left w:val="nil"/>
              <w:bottom w:val="nil"/>
              <w:right w:val="nil"/>
            </w:tcBorders>
          </w:tcPr>
          <w:p>
            <w:pPr>
              <w:spacing w:after="60"/>
            </w:pPr>
            <w:r>
              <w:rPr>
                <w:rFonts w:ascii="Aptos" w:hAnsi="Aptos"/>
                <w:b/>
                <w:color w:val="0A222D"/>
              </w:rPr>
              <w:t>Evidence rule</w:t>
            </w:r>
          </w:p>
          <w:p>
            <w:pPr>
              <w:spacing w:after="0"/>
            </w:pPr>
            <w:r>
              <w:t>A crawler warning becomes a report finding only after manual verification and a clear explanation of why it matters for this site. “The tool flagged it” is not evidence of impact.</w:t>
            </w:r>
          </w:p>
        </w:tc>
      </w:tr>
    </w:tbl>
    <w:p>
      <w:pPr>
        <w:spacing w:after="0"/>
      </w:pPr>
    </w:p>
    <w:p>
      <w:pPr>
        <w:pStyle w:val="Heading1"/>
        <w:keepNext/>
      </w:pPr>
      <w:r>
        <w:t>Audit identity and scope</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Client / site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[Organization and canonical domain]</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Audit date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[YYYY-MM-DD]</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Prepared by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[Analyst and reviewer]</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Environment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[Production, staging, subdomain, locale, or app boundary]</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Primary markets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[Countries, languages, locations, and devices]</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Primary conversions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[Qualified inquiry, sale, signup, application, donation, download, or other outcome]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Priority sections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[Revenue, mission, seasonal, migration, or newly launched sections]</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Excluded sections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[What is outside the audit and why]</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Data period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[Search Console and analytics comparison period]</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Crawl tools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[Crawler, rendering mode, user agent, speed, date, and configuration]</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Known changes — Optional</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[Migration, redesign, CMS change, domain change, release, penalty, outage, or tracking change]</w:t>
            </w:r>
          </w:p>
        </w:tc>
      </w:tr>
    </w:tbl>
    <w:p>
      <w:pPr>
        <w:pStyle w:val="Heading1"/>
        <w:keepNext/>
      </w:pPr>
      <w:r>
        <w:t>Baseline</w:t>
      </w:r>
    </w:p>
    <w:tbl>
      <w:tblPr>
        <w:tblW w:type="auto" w:w="0"/>
        <w:jc w:val="center"/>
        <w:tblLayout w:type="fixed"/>
        <w:tblLook w:firstColumn="1" w:firstRow="1" w:lastColumn="0" w:lastRow="0" w:noHBand="0" w:noVBand="1" w:val="04A0"/>
      </w:tblPr>
      <w:tblGrid>
        <w:gridCol w:w="3024"/>
        <w:gridCol w:w="6912"/>
      </w:tblGrid>
      <w:tr>
        <w:trPr>
          <w:tblHeader w:val="true"/>
        </w:trPr>
        <w:tc>
          <w:tcPr>
            <w:tcW w:type="dxa" w:w="3024"/>
            <w:shd w:fill="0A222D"/>
            <w:tcMar>
              <w:top w:w="100" w:type="dxa"/>
              <w:start w:w="120" w:type="dxa"/>
              <w:bottom w:w="100" w:type="dxa"/>
              <w:end w:w="120" w:type="dxa"/>
            </w:tcMar>
          </w:tcPr>
          <w:p>
            <w:r>
              <w:rPr>
                <w:b/>
                <w:color w:val="FFFFFF"/>
                <w:sz w:val="18"/>
              </w:rPr>
              <w:t>Baseline item</w:t>
            </w:r>
          </w:p>
        </w:tc>
        <w:tc>
          <w:tcPr>
            <w:tcW w:type="dxa" w:w="6912"/>
            <w:shd w:fill="0A222D"/>
            <w:tcMar>
              <w:top w:w="100" w:type="dxa"/>
              <w:start w:w="120" w:type="dxa"/>
              <w:bottom w:w="100" w:type="dxa"/>
              <w:end w:w="120" w:type="dxa"/>
            </w:tcMar>
          </w:tcPr>
          <w:p>
            <w:r>
              <w:rPr>
                <w:b/>
                <w:color w:val="FFFFFF"/>
                <w:sz w:val="18"/>
              </w:rPr>
              <w:t>Observed value and source</w:t>
            </w:r>
          </w:p>
        </w:tc>
      </w:tr>
      <w:tr>
        <w:trPr>
          <w:cantSplit/>
        </w:trPr>
        <w:tc>
          <w:tcPr>
            <w:tcW w:type="dxa" w:w="302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Indexed / known URLs</w:t>
            </w:r>
          </w:p>
        </w:tc>
        <w:tc>
          <w:tcPr>
            <w:tcW w:type="dxa" w:w="69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[Source, count, date, and whether this is a proxy rather than a complete inventory]</w:t>
            </w:r>
          </w:p>
        </w:tc>
      </w:tr>
      <w:tr>
        <w:trPr>
          <w:cantSplit/>
        </w:trPr>
        <w:tc>
          <w:tcPr>
            <w:tcW w:type="dxa" w:w="302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Organic clicks</w:t>
            </w:r>
          </w:p>
        </w:tc>
        <w:tc>
          <w:tcPr>
            <w:tcW w:type="dxa" w:w="69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[Current period, comparison period, change, and source]</w:t>
            </w:r>
          </w:p>
        </w:tc>
      </w:tr>
      <w:tr>
        <w:trPr>
          <w:cantSplit/>
        </w:trPr>
        <w:tc>
          <w:tcPr>
            <w:tcW w:type="dxa" w:w="302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Organic impressions</w:t>
            </w:r>
          </w:p>
        </w:tc>
        <w:tc>
          <w:tcPr>
            <w:tcW w:type="dxa" w:w="69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[Current period, comparison period, change, and source]</w:t>
            </w:r>
          </w:p>
        </w:tc>
      </w:tr>
      <w:tr>
        <w:trPr>
          <w:cantSplit/>
        </w:trPr>
        <w:tc>
          <w:tcPr>
            <w:tcW w:type="dxa" w:w="302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Average position</w:t>
            </w:r>
          </w:p>
        </w:tc>
        <w:tc>
          <w:tcPr>
            <w:tcW w:type="dxa" w:w="69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[Use cautiously; include query/page segmentation]</w:t>
            </w:r>
          </w:p>
        </w:tc>
      </w:tr>
      <w:tr>
        <w:trPr>
          <w:cantSplit/>
        </w:trPr>
        <w:tc>
          <w:tcPr>
            <w:tcW w:type="dxa" w:w="302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Priority non-brand queries</w:t>
            </w:r>
          </w:p>
        </w:tc>
        <w:tc>
          <w:tcPr>
            <w:tcW w:type="dxa" w:w="69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[Queries, impressions, clicks, position, and landing page]</w:t>
            </w:r>
          </w:p>
        </w:tc>
      </w:tr>
      <w:tr>
        <w:trPr>
          <w:cantSplit/>
        </w:trPr>
        <w:tc>
          <w:tcPr>
            <w:tcW w:type="dxa" w:w="302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Priority landing pages</w:t>
            </w:r>
          </w:p>
        </w:tc>
        <w:tc>
          <w:tcPr>
            <w:tcW w:type="dxa" w:w="69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[URLs, organic sessions/clicks, conversions, and trend]</w:t>
            </w:r>
          </w:p>
        </w:tc>
      </w:tr>
      <w:tr>
        <w:trPr>
          <w:cantSplit/>
        </w:trPr>
        <w:tc>
          <w:tcPr>
            <w:tcW w:type="dxa" w:w="302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Core Web Vitals field status</w:t>
            </w:r>
          </w:p>
        </w:tc>
        <w:tc>
          <w:tcPr>
            <w:tcW w:type="dxa" w:w="69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[Good / needs improvement / poor URL groups and device]</w:t>
            </w:r>
          </w:p>
        </w:tc>
      </w:tr>
      <w:tr>
        <w:trPr>
          <w:cantSplit/>
        </w:trPr>
        <w:tc>
          <w:tcPr>
            <w:tcW w:type="dxa" w:w="302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Crawl / index anomalies</w:t>
            </w:r>
          </w:p>
        </w:tc>
        <w:tc>
          <w:tcPr>
            <w:tcW w:type="dxa" w:w="69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[Spike, decline, duplicate cluster, discovery gap, or server-error pattern]</w:t>
            </w:r>
          </w:p>
        </w:tc>
      </w:tr>
    </w:tbl>
    <w:p>
      <w:r>
        <w:br w:type="page"/>
      </w:r>
    </w:p>
    <w:p>
      <w:pPr>
        <w:pStyle w:val="Heading1"/>
        <w:keepNext/>
      </w:pPr>
      <w:r>
        <w:t>Executive summary</w:t>
      </w:r>
    </w:p>
    <w:p>
      <w:pPr>
        <w:spacing w:after="140"/>
      </w:pPr>
      <w:r>
        <w:rPr>
          <w:color w:val="1D6F5F"/>
        </w:rPr>
        <w:t>Overall finding: [One sentence describing the main technical constraint or the absence of a material technical constraint].</w:t>
      </w:r>
    </w:p>
    <w:p>
      <w:pPr>
        <w:spacing w:after="140"/>
      </w:pPr>
      <w:r>
        <w:rPr>
          <w:color w:val="1D6F5F"/>
        </w:rPr>
        <w:t>Business implication: [How the issue affects discovery, priority pages, conversion paths, reporting confidence, or migration risk].</w:t>
      </w:r>
    </w:p>
    <w:p>
      <w:pPr>
        <w:spacing w:after="140"/>
      </w:pPr>
      <w:r>
        <w:rPr>
          <w:color w:val="1D6F5F"/>
        </w:rPr>
        <w:t>Recommended first move: [The smallest set of actions that addresses the highest-confidence constraint].</w:t>
      </w:r>
    </w:p>
    <w:tbl>
      <w:tblPr>
        <w:tblW w:type="auto" w:w="0"/>
        <w:jc w:val="center"/>
        <w:tblLayout w:type="fixed"/>
        <w:tblLook w:firstColumn="1" w:firstRow="1" w:lastColumn="0" w:lastRow="0" w:noHBand="0" w:noVBand="1" w:val="04A0"/>
      </w:tblPr>
      <w:tblGrid>
        <w:gridCol w:w="749"/>
        <w:gridCol w:w="2016"/>
        <w:gridCol w:w="2520"/>
        <w:gridCol w:w="1699"/>
        <w:gridCol w:w="1080"/>
        <w:gridCol w:w="893"/>
        <w:gridCol w:w="1512"/>
      </w:tblGrid>
      <w:tr>
        <w:trPr>
          <w:tblHeader w:val="true"/>
        </w:trPr>
        <w:tc>
          <w:tcPr>
            <w:tcW w:type="dxa" w:w="749"/>
            <w:shd w:fill="0A222D"/>
            <w:tcMar>
              <w:top w:w="100" w:type="dxa"/>
              <w:start w:w="120" w:type="dxa"/>
              <w:bottom w:w="100" w:type="dxa"/>
              <w:end w:w="120" w:type="dxa"/>
            </w:tcMar>
          </w:tcPr>
          <w:p>
            <w:r>
              <w:rPr>
                <w:b/>
                <w:color w:val="FFFFFF"/>
                <w:sz w:val="18"/>
              </w:rPr>
              <w:t>ID</w:t>
            </w:r>
          </w:p>
        </w:tc>
        <w:tc>
          <w:tcPr>
            <w:tcW w:type="dxa" w:w="2016"/>
            <w:shd w:fill="0A222D"/>
            <w:tcMar>
              <w:top w:w="100" w:type="dxa"/>
              <w:start w:w="120" w:type="dxa"/>
              <w:bottom w:w="100" w:type="dxa"/>
              <w:end w:w="120" w:type="dxa"/>
            </w:tcMar>
          </w:tcPr>
          <w:p>
            <w:r>
              <w:rPr>
                <w:b/>
                <w:color w:val="FFFFFF"/>
                <w:sz w:val="18"/>
              </w:rPr>
              <w:t>Issue</w:t>
            </w:r>
          </w:p>
        </w:tc>
        <w:tc>
          <w:tcPr>
            <w:tcW w:type="dxa" w:w="2520"/>
            <w:shd w:fill="0A222D"/>
            <w:tcMar>
              <w:top w:w="100" w:type="dxa"/>
              <w:start w:w="120" w:type="dxa"/>
              <w:bottom w:w="100" w:type="dxa"/>
              <w:end w:w="120" w:type="dxa"/>
            </w:tcMar>
          </w:tcPr>
          <w:p>
            <w:r>
              <w:rPr>
                <w:b/>
                <w:color w:val="FFFFFF"/>
                <w:sz w:val="18"/>
              </w:rPr>
              <w:t>Evidence</w:t>
            </w:r>
          </w:p>
        </w:tc>
        <w:tc>
          <w:tcPr>
            <w:tcW w:type="dxa" w:w="1699"/>
            <w:shd w:fill="0A222D"/>
            <w:tcMar>
              <w:top w:w="100" w:type="dxa"/>
              <w:start w:w="120" w:type="dxa"/>
              <w:bottom w:w="100" w:type="dxa"/>
              <w:end w:w="120" w:type="dxa"/>
            </w:tcMar>
          </w:tcPr>
          <w:p>
            <w:r>
              <w:rPr>
                <w:b/>
                <w:color w:val="FFFFFF"/>
                <w:sz w:val="18"/>
              </w:rPr>
              <w:t>Effect</w:t>
            </w:r>
          </w:p>
        </w:tc>
        <w:tc>
          <w:tcPr>
            <w:tcW w:type="dxa" w:w="1080"/>
            <w:shd w:fill="0A222D"/>
            <w:tcMar>
              <w:top w:w="100" w:type="dxa"/>
              <w:start w:w="120" w:type="dxa"/>
              <w:bottom w:w="100" w:type="dxa"/>
              <w:end w:w="120" w:type="dxa"/>
            </w:tcMar>
          </w:tcPr>
          <w:p>
            <w:r>
              <w:rPr>
                <w:b/>
                <w:color w:val="FFFFFF"/>
                <w:sz w:val="18"/>
              </w:rPr>
              <w:t>Owner</w:t>
            </w:r>
          </w:p>
        </w:tc>
        <w:tc>
          <w:tcPr>
            <w:tcW w:type="dxa" w:w="893"/>
            <w:shd w:fill="0A222D"/>
            <w:tcMar>
              <w:top w:w="100" w:type="dxa"/>
              <w:start w:w="120" w:type="dxa"/>
              <w:bottom w:w="100" w:type="dxa"/>
              <w:end w:w="120" w:type="dxa"/>
            </w:tcMar>
          </w:tcPr>
          <w:p>
            <w:r>
              <w:rPr>
                <w:b/>
                <w:color w:val="FFFFFF"/>
                <w:sz w:val="18"/>
              </w:rPr>
              <w:t>Effort</w:t>
            </w:r>
          </w:p>
        </w:tc>
        <w:tc>
          <w:tcPr>
            <w:tcW w:type="dxa" w:w="1512"/>
            <w:shd w:fill="0A222D"/>
            <w:tcMar>
              <w:top w:w="100" w:type="dxa"/>
              <w:start w:w="120" w:type="dxa"/>
              <w:bottom w:w="100" w:type="dxa"/>
              <w:end w:w="120" w:type="dxa"/>
            </w:tcMar>
          </w:tcPr>
          <w:p>
            <w:r>
              <w:rPr>
                <w:b/>
                <w:color w:val="FFFFFF"/>
                <w:sz w:val="18"/>
              </w:rPr>
              <w:t>Validate</w:t>
            </w:r>
          </w:p>
        </w:tc>
      </w:tr>
      <w:tr>
        <w:trPr>
          <w:cantSplit/>
        </w:trPr>
        <w:tc>
          <w:tcPr>
            <w:tcW w:type="dxa" w:w="749"/>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[P1]</w:t>
            </w:r>
          </w:p>
        </w:tc>
        <w:tc>
          <w:tcPr>
            <w:tcW w:type="dxa" w:w="201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[Confirmed issue]</w:t>
            </w:r>
          </w:p>
        </w:tc>
        <w:tc>
          <w:tcPr>
            <w:tcW w:type="dxa" w:w="252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[Evidence and affected segment]</w:t>
            </w:r>
          </w:p>
        </w:tc>
        <w:tc>
          <w:tcPr>
            <w:tcW w:type="dxa" w:w="1699"/>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[Expected effect]</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[Owner]</w:t>
            </w:r>
          </w:p>
        </w:tc>
        <w:tc>
          <w:tcPr>
            <w:tcW w:type="dxa" w:w="893"/>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[Effort]</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[Validation]</w:t>
            </w:r>
          </w:p>
        </w:tc>
      </w:tr>
      <w:tr>
        <w:trPr>
          <w:cantSplit/>
        </w:trPr>
        <w:tc>
          <w:tcPr>
            <w:tcW w:type="dxa" w:w="749"/>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[P2]</w:t>
            </w:r>
          </w:p>
        </w:tc>
        <w:tc>
          <w:tcPr>
            <w:tcW w:type="dxa" w:w="201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252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699"/>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893"/>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749"/>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[P3]</w:t>
            </w:r>
          </w:p>
        </w:tc>
        <w:tc>
          <w:tcPr>
            <w:tcW w:type="dxa" w:w="201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252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699"/>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893"/>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749"/>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[P4]</w:t>
            </w:r>
          </w:p>
        </w:tc>
        <w:tc>
          <w:tcPr>
            <w:tcW w:type="dxa" w:w="201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252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699"/>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893"/>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749"/>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[P5]</w:t>
            </w:r>
          </w:p>
        </w:tc>
        <w:tc>
          <w:tcPr>
            <w:tcW w:type="dxa" w:w="201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252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699"/>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893"/>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bl>
    <w:p>
      <w:r>
        <w:br w:type="page"/>
      </w:r>
    </w:p>
    <w:p>
      <w:pPr>
        <w:pStyle w:val="Heading1"/>
        <w:keepNext/>
      </w:pPr>
      <w:r>
        <w:t>The nine issue classes</w:t>
      </w:r>
    </w:p>
    <w:p>
      <w:pPr>
        <w:pStyle w:val="Heading2"/>
        <w:keepNext/>
      </w:pPr>
      <w:r>
        <w:t>1. Crawlability and access</w:t>
      </w:r>
    </w:p>
    <w:p>
      <w:r>
        <w:rPr>
          <w:b/>
        </w:rPr>
        <w:t xml:space="preserve">Audit purpose. </w:t>
      </w:r>
      <w:r>
        <w:t>Confirm that search crawlers can reach important pages and required resources without wasting attention on low-value URL spaces.</w:t>
      </w:r>
    </w:p>
    <w:p>
      <w:r>
        <w:rPr>
          <w:b/>
        </w:rPr>
        <w:t xml:space="preserve">Evidence to collect. </w:t>
      </w:r>
      <w:r>
        <w:t>robots.txt response and rules; status codes; crawl paths; authentication; server logs where available; blocked resources; rendered page checks.</w:t>
      </w:r>
    </w:p>
    <w:p>
      <w:r>
        <w:rPr>
          <w:b/>
        </w:rPr>
        <w:t xml:space="preserve">Common false positive or mistake. </w:t>
      </w:r>
      <w:r>
        <w:t>Treating robots.txt as a reliable removal mechanism. Google states that a disallowed URL may still appear in results when discovered elsewhere.[1]</w:t>
      </w:r>
    </w:p>
    <w:p>
      <w:pPr>
        <w:pStyle w:val="Heading2"/>
        <w:keepNext/>
      </w:pPr>
      <w:r>
        <w:t>2. Indexation and index bloat</w:t>
      </w:r>
    </w:p>
    <w:p>
      <w:r>
        <w:rPr>
          <w:b/>
        </w:rPr>
        <w:t xml:space="preserve">Audit purpose. </w:t>
      </w:r>
      <w:r>
        <w:t>Compare the pages the organization intends to expose with the pages search engines discover, crawl, select, and serve.</w:t>
      </w:r>
    </w:p>
    <w:p>
      <w:r>
        <w:rPr>
          <w:b/>
        </w:rPr>
        <w:t xml:space="preserve">Evidence to collect. </w:t>
      </w:r>
      <w:r>
        <w:t>Search Console indexing and URL Inspection; sampled site queries; sitemap URLs; crawl indexability; noindex and response headers; parameter and faceted spaces.</w:t>
      </w:r>
    </w:p>
    <w:p>
      <w:r>
        <w:rPr>
          <w:b/>
        </w:rPr>
        <w:t xml:space="preserve">Common false positive or mistake. </w:t>
      </w:r>
      <w:r>
        <w:t>Calling every excluded URL an error. Some exclusions are intentional; the issue is a mismatch between intent and observed handling.</w:t>
      </w:r>
    </w:p>
    <w:p>
      <w:pPr>
        <w:pStyle w:val="Heading2"/>
        <w:keepNext/>
      </w:pPr>
      <w:r>
        <w:t>3. Canonicalization and duplication</w:t>
      </w:r>
    </w:p>
    <w:p>
      <w:r>
        <w:rPr>
          <w:b/>
        </w:rPr>
        <w:t xml:space="preserve">Audit purpose. </w:t>
      </w:r>
      <w:r>
        <w:t>Find conflicting preferred URLs, duplicate clusters, protocol/host/path variants, and pages whose signals are split.</w:t>
      </w:r>
    </w:p>
    <w:p>
      <w:r>
        <w:rPr>
          <w:b/>
        </w:rPr>
        <w:t xml:space="preserve">Evidence to collect. </w:t>
      </w:r>
      <w:r>
        <w:t>HTML and HTTP canonicals; redirects; sitemap inclusion; internal links; hreflang; duplicate titles/content; selected canonical in URL Inspection.</w:t>
      </w:r>
    </w:p>
    <w:p>
      <w:r>
        <w:rPr>
          <w:b/>
        </w:rPr>
        <w:t xml:space="preserve">Common false positive or mistake. </w:t>
      </w:r>
      <w:r>
        <w:t>Using robots.txt for canonicalization or sending conflicting signals. Google describes redirects and rel="canonical" as strong signals, while sitemap inclusion is weaker.[2]</w:t>
      </w:r>
    </w:p>
    <w:p>
      <w:pPr>
        <w:pStyle w:val="Heading2"/>
        <w:keepNext/>
      </w:pPr>
      <w:r>
        <w:t>4. Sitemaps and discovery coverage</w:t>
      </w:r>
    </w:p>
    <w:p>
      <w:r>
        <w:rPr>
          <w:b/>
        </w:rPr>
        <w:t xml:space="preserve">Audit purpose. </w:t>
      </w:r>
      <w:r>
        <w:t>Check whether sitemaps expose intended canonical URLs with valid responses and useful segmentation.</w:t>
      </w:r>
    </w:p>
    <w:p>
      <w:r>
        <w:rPr>
          <w:b/>
        </w:rPr>
        <w:t xml:space="preserve">Evidence to collect. </w:t>
      </w:r>
      <w:r>
        <w:t>Sitemap index and child files; status codes; submitted/processed state; URL counts; last-modified accuracy; comparison with canonical and indexable inventory.</w:t>
      </w:r>
    </w:p>
    <w:p>
      <w:r>
        <w:rPr>
          <w:b/>
        </w:rPr>
        <w:t xml:space="preserve">Common false positive or mistake. </w:t>
      </w:r>
      <w:r>
        <w:t>Assuming sitemap inclusion guarantees crawling or indexation. Google explicitly states that it does not.[3]</w:t>
      </w:r>
    </w:p>
    <w:p>
      <w:pPr>
        <w:pStyle w:val="Heading2"/>
        <w:keepNext/>
      </w:pPr>
      <w:r>
        <w:t>5. Internal linking, depth, and orphan pages</w:t>
      </w:r>
    </w:p>
    <w:p>
      <w:r>
        <w:rPr>
          <w:b/>
        </w:rPr>
        <w:t xml:space="preserve">Audit purpose. </w:t>
      </w:r>
      <w:r>
        <w:t>Test whether priority pages are reachable through crawlable links, receive appropriate internal prominence, and avoid dead-end architecture.</w:t>
      </w:r>
    </w:p>
    <w:p>
      <w:r>
        <w:rPr>
          <w:b/>
        </w:rPr>
        <w:t xml:space="preserve">Evidence to collect. </w:t>
      </w:r>
      <w:r>
        <w:t>Crawl depth; inlinks; contextual anchors; navigation; breadcrumbs; orphan comparison across sitemap, Search Console, analytics, and CMS exports.</w:t>
      </w:r>
    </w:p>
    <w:p>
      <w:r>
        <w:rPr>
          <w:b/>
        </w:rPr>
        <w:t xml:space="preserve">Common false positive or mistake. </w:t>
      </w:r>
      <w:r>
        <w:t>Treating link count as importance without checking relevance, anchor context, template repetition, and user path.</w:t>
      </w:r>
    </w:p>
    <w:p>
      <w:pPr>
        <w:pStyle w:val="Heading2"/>
        <w:keepNext/>
      </w:pPr>
      <w:r>
        <w:t>6. Page experience and Core Web Vitals</w:t>
      </w:r>
    </w:p>
    <w:p>
      <w:r>
        <w:rPr>
          <w:b/>
        </w:rPr>
        <w:t xml:space="preserve">Audit purpose. </w:t>
      </w:r>
      <w:r>
        <w:t>Use field data to identify URL groups with real loading, responsiveness, or visual-stability problems, then use lab tools to diagnose.</w:t>
      </w:r>
    </w:p>
    <w:p>
      <w:r>
        <w:rPr>
          <w:b/>
        </w:rPr>
        <w:t xml:space="preserve">Evidence to collect. </w:t>
      </w:r>
      <w:r>
        <w:t>Search Console Core Web Vitals; CrUX where available; LCP, INP, and CLS by device and template; lab traces; render-blocking resources; image and font behavior.</w:t>
      </w:r>
    </w:p>
    <w:p>
      <w:r>
        <w:rPr>
          <w:b/>
        </w:rPr>
        <w:t xml:space="preserve">Common false positive or mistake. </w:t>
      </w:r>
      <w:r>
        <w:t>Presenting one lab test as representative field performance. Google defines Core Web Vitals around real-world experience and publishes good thresholds of LCP ≤2.5s, INP &lt;200ms, and CLS &lt;0.1.[4]</w:t>
      </w:r>
    </w:p>
    <w:p>
      <w:pPr>
        <w:pStyle w:val="Heading2"/>
        <w:keepNext/>
      </w:pPr>
      <w:r>
        <w:t>7. Structured data and eligibility</w:t>
      </w:r>
    </w:p>
    <w:p>
      <w:r>
        <w:rPr>
          <w:b/>
        </w:rPr>
        <w:t xml:space="preserve">Audit purpose. </w:t>
      </w:r>
      <w:r>
        <w:t>Verify that markup is valid, visible-content-aligned, policy-compliant, and appropriate for the page type.</w:t>
      </w:r>
    </w:p>
    <w:p>
      <w:r>
        <w:rPr>
          <w:b/>
        </w:rPr>
        <w:t xml:space="preserve">Evidence to collect. </w:t>
      </w:r>
      <w:r>
        <w:t>Rich Results Test; Search Console enhancement reports; rendered markup; schema type and required/recommended properties; visible page content.</w:t>
      </w:r>
    </w:p>
    <w:p>
      <w:r>
        <w:rPr>
          <w:b/>
        </w:rPr>
        <w:t xml:space="preserve">Common false positive or mistake. </w:t>
      </w:r>
      <w:r>
        <w:t>Equating valid markup with guaranteed rich-result display.</w:t>
      </w:r>
    </w:p>
    <w:p>
      <w:pPr>
        <w:pStyle w:val="Heading2"/>
        <w:keepNext/>
      </w:pPr>
      <w:r>
        <w:t>8. Mobile rendering and parity</w:t>
      </w:r>
    </w:p>
    <w:p>
      <w:r>
        <w:rPr>
          <w:b/>
        </w:rPr>
        <w:t xml:space="preserve">Audit purpose. </w:t>
      </w:r>
      <w:r>
        <w:t>Confirm that mobile users and mobile-first crawling receive the critical content, links, metadata, and interactions needed to discover and use the page.</w:t>
      </w:r>
    </w:p>
    <w:p>
      <w:r>
        <w:rPr>
          <w:b/>
        </w:rPr>
        <w:t xml:space="preserve">Evidence to collect. </w:t>
      </w:r>
      <w:r>
        <w:t>Rendered HTML and screenshots; responsive layout; viewport; hidden or delayed content; navigation; forms; intrusive overlays; resource loading.</w:t>
      </w:r>
    </w:p>
    <w:p>
      <w:r>
        <w:rPr>
          <w:b/>
        </w:rPr>
        <w:t xml:space="preserve">Common false positive or mistake. </w:t>
      </w:r>
      <w:r>
        <w:t>Checking only visual responsiveness while missing content, link, metadata, or interaction differences.</w:t>
      </w:r>
    </w:p>
    <w:p>
      <w:pPr>
        <w:pStyle w:val="Heading2"/>
        <w:keepNext/>
      </w:pPr>
      <w:r>
        <w:t>9. Redirects, migrations, and URL lifecycle</w:t>
      </w:r>
    </w:p>
    <w:p>
      <w:r>
        <w:rPr>
          <w:b/>
        </w:rPr>
        <w:t xml:space="preserve">Audit purpose. </w:t>
      </w:r>
      <w:r>
        <w:t>Find chains, loops, soft errors, broken legacy mappings, internal links to redirects, and migration gaps.</w:t>
      </w:r>
    </w:p>
    <w:p>
      <w:r>
        <w:rPr>
          <w:b/>
        </w:rPr>
        <w:t xml:space="preserve">Evidence to collect. </w:t>
      </w:r>
      <w:r>
        <w:t>Redirect map; status and hop count; destination relevance; backlink and traffic value; old sitemaps; internal links; server rules; canonical and hreflang destinations.</w:t>
      </w:r>
    </w:p>
    <w:p>
      <w:r>
        <w:rPr>
          <w:b/>
        </w:rPr>
        <w:t xml:space="preserve">Common false positive or mistake. </w:t>
      </w:r>
      <w:r>
        <w:t>Bulk redirecting unrelated old pages to the homepage or validating status codes without checking destination relevance.</w:t>
      </w:r>
    </w:p>
    <w:p>
      <w:pPr>
        <w:pStyle w:val="Heading1"/>
        <w:keepNext/>
      </w:pPr>
      <w:r>
        <w:t>Out-of-scope unless explicitly commissioned</w:t>
      </w:r>
    </w:p>
    <w:p>
      <w:pPr>
        <w:pStyle w:val="ListBullet"/>
        <w:spacing w:after="60"/>
      </w:pPr>
      <w:r>
        <w:t>Full keyword strategy, editorial planning, or content quality rewriting.</w:t>
      </w:r>
    </w:p>
    <w:p>
      <w:pPr>
        <w:pStyle w:val="ListBullet"/>
        <w:spacing w:after="60"/>
      </w:pPr>
      <w:r>
        <w:t>Backlink acquisition, digital PR, or disavow decisions.</w:t>
      </w:r>
    </w:p>
    <w:p>
      <w:pPr>
        <w:pStyle w:val="ListBullet"/>
        <w:spacing w:after="60"/>
      </w:pPr>
      <w:r>
        <w:t>Conversion research beyond identifying obvious technical blockers.</w:t>
      </w:r>
    </w:p>
    <w:p>
      <w:pPr>
        <w:pStyle w:val="ListBullet"/>
        <w:spacing w:after="60"/>
      </w:pPr>
      <w:r>
        <w:t>Security penetration testing, privacy compliance, or accessibility conformance audit.</w:t>
      </w:r>
    </w:p>
    <w:p>
      <w:pPr>
        <w:pStyle w:val="ListBullet"/>
        <w:spacing w:after="60"/>
      </w:pPr>
      <w:r>
        <w:t>International strategy beyond technical hreflang and rendering checks.</w:t>
      </w:r>
    </w:p>
    <w:p>
      <w:pPr>
        <w:pStyle w:val="Heading1"/>
        <w:keepNext/>
      </w:pPr>
      <w:r>
        <w:t>Sampling plan</w:t>
      </w:r>
    </w:p>
    <w:tbl>
      <w:tblPr>
        <w:tblW w:type="auto" w:w="0"/>
        <w:jc w:val="center"/>
        <w:tblLayout w:type="fixed"/>
        <w:tblLook w:firstColumn="1" w:firstRow="1" w:lastColumn="0" w:lastRow="0" w:noHBand="0" w:noVBand="1" w:val="04A0"/>
      </w:tblPr>
      <w:tblGrid>
        <w:gridCol w:w="2088"/>
        <w:gridCol w:w="2088"/>
        <w:gridCol w:w="1368"/>
        <w:gridCol w:w="2088"/>
        <w:gridCol w:w="1800"/>
        <w:gridCol w:w="1037"/>
      </w:tblGrid>
      <w:tr>
        <w:trPr>
          <w:tblHeader w:val="true"/>
        </w:trPr>
        <w:tc>
          <w:tcPr>
            <w:tcW w:type="dxa" w:w="2088"/>
            <w:shd w:fill="0A222D"/>
            <w:tcMar>
              <w:top w:w="100" w:type="dxa"/>
              <w:start w:w="120" w:type="dxa"/>
              <w:bottom w:w="100" w:type="dxa"/>
              <w:end w:w="120" w:type="dxa"/>
            </w:tcMar>
          </w:tcPr>
          <w:p>
            <w:r>
              <w:rPr>
                <w:b/>
                <w:color w:val="FFFFFF"/>
                <w:sz w:val="18"/>
              </w:rPr>
              <w:t>Segment</w:t>
            </w:r>
          </w:p>
        </w:tc>
        <w:tc>
          <w:tcPr>
            <w:tcW w:type="dxa" w:w="2088"/>
            <w:shd w:fill="0A222D"/>
            <w:tcMar>
              <w:top w:w="100" w:type="dxa"/>
              <w:start w:w="120" w:type="dxa"/>
              <w:bottom w:w="100" w:type="dxa"/>
              <w:end w:w="120" w:type="dxa"/>
            </w:tcMar>
          </w:tcPr>
          <w:p>
            <w:r>
              <w:rPr>
                <w:b/>
                <w:color w:val="FFFFFF"/>
                <w:sz w:val="18"/>
              </w:rPr>
              <w:t>Reason</w:t>
            </w:r>
          </w:p>
        </w:tc>
        <w:tc>
          <w:tcPr>
            <w:tcW w:type="dxa" w:w="1368"/>
            <w:shd w:fill="0A222D"/>
            <w:tcMar>
              <w:top w:w="100" w:type="dxa"/>
              <w:start w:w="120" w:type="dxa"/>
              <w:bottom w:w="100" w:type="dxa"/>
              <w:end w:w="120" w:type="dxa"/>
            </w:tcMar>
          </w:tcPr>
          <w:p>
            <w:r>
              <w:rPr>
                <w:b/>
                <w:color w:val="FFFFFF"/>
                <w:sz w:val="18"/>
              </w:rPr>
              <w:t>Population</w:t>
            </w:r>
          </w:p>
        </w:tc>
        <w:tc>
          <w:tcPr>
            <w:tcW w:type="dxa" w:w="2088"/>
            <w:shd w:fill="0A222D"/>
            <w:tcMar>
              <w:top w:w="100" w:type="dxa"/>
              <w:start w:w="120" w:type="dxa"/>
              <w:bottom w:w="100" w:type="dxa"/>
              <w:end w:w="120" w:type="dxa"/>
            </w:tcMar>
          </w:tcPr>
          <w:p>
            <w:r>
              <w:rPr>
                <w:b/>
                <w:color w:val="FFFFFF"/>
                <w:sz w:val="18"/>
              </w:rPr>
              <w:t>Sample</w:t>
            </w:r>
          </w:p>
        </w:tc>
        <w:tc>
          <w:tcPr>
            <w:tcW w:type="dxa" w:w="1800"/>
            <w:shd w:fill="0A222D"/>
            <w:tcMar>
              <w:top w:w="100" w:type="dxa"/>
              <w:start w:w="120" w:type="dxa"/>
              <w:bottom w:w="100" w:type="dxa"/>
              <w:end w:w="120" w:type="dxa"/>
            </w:tcMar>
          </w:tcPr>
          <w:p>
            <w:r>
              <w:rPr>
                <w:b/>
                <w:color w:val="FFFFFF"/>
                <w:sz w:val="18"/>
              </w:rPr>
              <w:t>Evidence</w:t>
            </w:r>
          </w:p>
        </w:tc>
        <w:tc>
          <w:tcPr>
            <w:tcW w:type="dxa" w:w="1037"/>
            <w:shd w:fill="0A222D"/>
            <w:tcMar>
              <w:top w:w="100" w:type="dxa"/>
              <w:start w:w="120" w:type="dxa"/>
              <w:bottom w:w="100" w:type="dxa"/>
              <w:end w:w="120" w:type="dxa"/>
            </w:tcMar>
          </w:tcPr>
          <w:p>
            <w:r>
              <w:rPr>
                <w:b/>
                <w:color w:val="FFFFFF"/>
                <w:sz w:val="18"/>
              </w:rPr>
              <w:t>Owner</w:t>
            </w:r>
          </w:p>
        </w:tc>
      </w:tr>
      <w:tr>
        <w:trPr>
          <w:cantSplit/>
        </w:trPr>
        <w:tc>
          <w:tcPr>
            <w:tcW w:type="dxa" w:w="208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[Template / segment]</w:t>
            </w:r>
          </w:p>
        </w:tc>
        <w:tc>
          <w:tcPr>
            <w:tcW w:type="dxa" w:w="208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[Why it matters]</w:t>
            </w:r>
          </w:p>
        </w:tc>
        <w:tc>
          <w:tcPr>
            <w:tcW w:type="dxa" w:w="136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[Population]</w:t>
            </w:r>
          </w:p>
        </w:tc>
        <w:tc>
          <w:tcPr>
            <w:tcW w:type="dxa" w:w="208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[Sample method and size]</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[Evidence source]</w:t>
            </w:r>
          </w:p>
        </w:tc>
        <w:tc>
          <w:tcPr>
            <w:tcW w:type="dxa" w:w="1037"/>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[Owner]</w:t>
            </w:r>
          </w:p>
        </w:tc>
      </w:tr>
      <w:tr>
        <w:trPr>
          <w:cantSplit/>
        </w:trPr>
        <w:tc>
          <w:tcPr>
            <w:tcW w:type="dxa" w:w="208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[Homepage / navigation]</w:t>
            </w:r>
          </w:p>
        </w:tc>
        <w:tc>
          <w:tcPr>
            <w:tcW w:type="dxa" w:w="208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36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208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037"/>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208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[Priority service / product]</w:t>
            </w:r>
          </w:p>
        </w:tc>
        <w:tc>
          <w:tcPr>
            <w:tcW w:type="dxa" w:w="208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36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208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037"/>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208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[Content / article]</w:t>
            </w:r>
          </w:p>
        </w:tc>
        <w:tc>
          <w:tcPr>
            <w:tcW w:type="dxa" w:w="208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36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208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037"/>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208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[Conversion / form]</w:t>
            </w:r>
          </w:p>
        </w:tc>
        <w:tc>
          <w:tcPr>
            <w:tcW w:type="dxa" w:w="208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36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208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037"/>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208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[Excluded / low-value URL space]</w:t>
            </w:r>
          </w:p>
        </w:tc>
        <w:tc>
          <w:tcPr>
            <w:tcW w:type="dxa" w:w="208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36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208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037"/>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bl>
    <w:p>
      <w:r>
        <w:br w:type="page"/>
      </w:r>
    </w:p>
    <w:p>
      <w:pPr>
        <w:pStyle w:val="Heading1"/>
        <w:keepNext/>
      </w:pPr>
      <w:r>
        <w:t>Finding detail</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Finding ID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[SEO-001]</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Issue class</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[One of the nine classes]</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Status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[Confirmed / hypothesis / false positive / accepted risk]</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Affected segment</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[URLs, template, directory, device, market, or query class]</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Observed evidence</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[What was observed, where, when, and with which tool or source]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Search / business evidence</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[Clicks, impressions, conversions, index state, backlink value, migration priority, or risk]</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Root-cause hypothesis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[Mechanism that plausibly explains the observed effect]</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Recommended action</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[Specific change with scope, owner, dependency, and acceptance criterion]</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Implementation risk</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[What could break; staging, backup, and rollback requirement]</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Priority and confidence</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[Score, bucket, and confidence rationale from the workbook]</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Validation method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[Pre-fix baseline, post-fix test, observation window, and success threshold]</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References</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[Relevant platform, CMS, framework, or policy documentation]</w:t>
            </w:r>
          </w:p>
        </w:tc>
      </w:tr>
    </w:tbl>
    <w:p>
      <w:pPr>
        <w:pStyle w:val="Heading1"/>
        <w:keepNext/>
      </w:pPr>
      <w:r>
        <w:t>Implementation and validation plan</w:t>
      </w:r>
    </w:p>
    <w:tbl>
      <w:tblPr>
        <w:tblW w:type="auto" w:w="0"/>
        <w:jc w:val="center"/>
        <w:tblLayout w:type="fixed"/>
        <w:tblLook w:firstColumn="1" w:firstRow="1" w:lastColumn="0" w:lastRow="0" w:noHBand="0" w:noVBand="1" w:val="04A0"/>
      </w:tblPr>
      <w:tblGrid>
        <w:gridCol w:w="936"/>
        <w:gridCol w:w="1123"/>
        <w:gridCol w:w="1584"/>
        <w:gridCol w:w="1181"/>
        <w:gridCol w:w="1656"/>
        <w:gridCol w:w="1728"/>
        <w:gridCol w:w="1440"/>
        <w:gridCol w:w="1152"/>
      </w:tblGrid>
      <w:tr>
        <w:trPr>
          <w:tblHeader w:val="true"/>
        </w:trPr>
        <w:tc>
          <w:tcPr>
            <w:tcW w:type="dxa" w:w="936"/>
            <w:shd w:fill="0A222D"/>
            <w:tcMar>
              <w:top w:w="100" w:type="dxa"/>
              <w:start w:w="120" w:type="dxa"/>
              <w:bottom w:w="100" w:type="dxa"/>
              <w:end w:w="120" w:type="dxa"/>
            </w:tcMar>
          </w:tcPr>
          <w:p>
            <w:r>
              <w:rPr>
                <w:b/>
                <w:color w:val="FFFFFF"/>
                <w:sz w:val="18"/>
              </w:rPr>
              <w:t>ID</w:t>
            </w:r>
          </w:p>
        </w:tc>
        <w:tc>
          <w:tcPr>
            <w:tcW w:type="dxa" w:w="1123"/>
            <w:shd w:fill="0A222D"/>
            <w:tcMar>
              <w:top w:w="100" w:type="dxa"/>
              <w:start w:w="120" w:type="dxa"/>
              <w:bottom w:w="100" w:type="dxa"/>
              <w:end w:w="120" w:type="dxa"/>
            </w:tcMar>
          </w:tcPr>
          <w:p>
            <w:r>
              <w:rPr>
                <w:b/>
                <w:color w:val="FFFFFF"/>
                <w:sz w:val="18"/>
              </w:rPr>
              <w:t>Owner</w:t>
            </w:r>
          </w:p>
        </w:tc>
        <w:tc>
          <w:tcPr>
            <w:tcW w:type="dxa" w:w="1584"/>
            <w:shd w:fill="0A222D"/>
            <w:tcMar>
              <w:top w:w="100" w:type="dxa"/>
              <w:start w:w="120" w:type="dxa"/>
              <w:bottom w:w="100" w:type="dxa"/>
              <w:end w:w="120" w:type="dxa"/>
            </w:tcMar>
          </w:tcPr>
          <w:p>
            <w:r>
              <w:rPr>
                <w:b/>
                <w:color w:val="FFFFFF"/>
                <w:sz w:val="18"/>
              </w:rPr>
              <w:t>Dependency</w:t>
            </w:r>
          </w:p>
        </w:tc>
        <w:tc>
          <w:tcPr>
            <w:tcW w:type="dxa" w:w="1181"/>
            <w:shd w:fill="0A222D"/>
            <w:tcMar>
              <w:top w:w="100" w:type="dxa"/>
              <w:start w:w="120" w:type="dxa"/>
              <w:bottom w:w="100" w:type="dxa"/>
              <w:end w:w="120" w:type="dxa"/>
            </w:tcMar>
          </w:tcPr>
          <w:p>
            <w:r>
              <w:rPr>
                <w:b/>
                <w:color w:val="FFFFFF"/>
                <w:sz w:val="18"/>
              </w:rPr>
              <w:t>Date</w:t>
            </w:r>
          </w:p>
        </w:tc>
        <w:tc>
          <w:tcPr>
            <w:tcW w:type="dxa" w:w="1656"/>
            <w:shd w:fill="0A222D"/>
            <w:tcMar>
              <w:top w:w="100" w:type="dxa"/>
              <w:start w:w="120" w:type="dxa"/>
              <w:bottom w:w="100" w:type="dxa"/>
              <w:end w:w="120" w:type="dxa"/>
            </w:tcMar>
          </w:tcPr>
          <w:p>
            <w:r>
              <w:rPr>
                <w:b/>
                <w:color w:val="FFFFFF"/>
                <w:sz w:val="18"/>
              </w:rPr>
              <w:t>Baseline</w:t>
            </w:r>
          </w:p>
        </w:tc>
        <w:tc>
          <w:tcPr>
            <w:tcW w:type="dxa" w:w="1728"/>
            <w:shd w:fill="0A222D"/>
            <w:tcMar>
              <w:top w:w="100" w:type="dxa"/>
              <w:start w:w="120" w:type="dxa"/>
              <w:bottom w:w="100" w:type="dxa"/>
              <w:end w:w="120" w:type="dxa"/>
            </w:tcMar>
          </w:tcPr>
          <w:p>
            <w:r>
              <w:rPr>
                <w:b/>
                <w:color w:val="FFFFFF"/>
                <w:sz w:val="18"/>
              </w:rPr>
              <w:t>Test</w:t>
            </w:r>
          </w:p>
        </w:tc>
        <w:tc>
          <w:tcPr>
            <w:tcW w:type="dxa" w:w="1440"/>
            <w:shd w:fill="0A222D"/>
            <w:tcMar>
              <w:top w:w="100" w:type="dxa"/>
              <w:start w:w="120" w:type="dxa"/>
              <w:bottom w:w="100" w:type="dxa"/>
              <w:end w:w="120" w:type="dxa"/>
            </w:tcMar>
          </w:tcPr>
          <w:p>
            <w:r>
              <w:rPr>
                <w:b/>
                <w:color w:val="FFFFFF"/>
                <w:sz w:val="18"/>
              </w:rPr>
              <w:t>Window</w:t>
            </w:r>
          </w:p>
        </w:tc>
        <w:tc>
          <w:tcPr>
            <w:tcW w:type="dxa" w:w="1152"/>
            <w:shd w:fill="0A222D"/>
            <w:tcMar>
              <w:top w:w="100" w:type="dxa"/>
              <w:start w:w="120" w:type="dxa"/>
              <w:bottom w:w="100" w:type="dxa"/>
              <w:end w:w="120" w:type="dxa"/>
            </w:tcMar>
          </w:tcPr>
          <w:p>
            <w:r>
              <w:rPr>
                <w:b/>
                <w:color w:val="FFFFFF"/>
                <w:sz w:val="18"/>
              </w:rPr>
              <w:t>Result</w:t>
            </w:r>
          </w:p>
        </w:tc>
      </w:tr>
      <w:tr>
        <w:trPr>
          <w:cantSplit/>
        </w:trPr>
        <w:tc>
          <w:tcPr>
            <w:tcW w:type="dxa" w:w="93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[Finding ID]</w:t>
            </w:r>
          </w:p>
        </w:tc>
        <w:tc>
          <w:tcPr>
            <w:tcW w:type="dxa" w:w="1123"/>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[Owner]</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[Dependency]</w:t>
            </w:r>
          </w:p>
        </w:tc>
        <w:tc>
          <w:tcPr>
            <w:tcW w:type="dxa" w:w="1181"/>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[Target date]</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[Pre-fix baseline]</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[Validation test]</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[Observation window]</w:t>
            </w:r>
          </w:p>
        </w:tc>
        <w:tc>
          <w:tcPr>
            <w:tcW w:type="dxa" w:w="115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[Result]</w:t>
            </w:r>
          </w:p>
        </w:tc>
      </w:tr>
      <w:tr>
        <w:trPr>
          <w:cantSplit/>
        </w:trPr>
        <w:tc>
          <w:tcPr>
            <w:tcW w:type="dxa" w:w="93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[SEO-001]</w:t>
            </w:r>
          </w:p>
        </w:tc>
        <w:tc>
          <w:tcPr>
            <w:tcW w:type="dxa" w:w="1123"/>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181"/>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15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93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[SEO-002]</w:t>
            </w:r>
          </w:p>
        </w:tc>
        <w:tc>
          <w:tcPr>
            <w:tcW w:type="dxa" w:w="1123"/>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181"/>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15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93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[SEO-003]</w:t>
            </w:r>
          </w:p>
        </w:tc>
        <w:tc>
          <w:tcPr>
            <w:tcW w:type="dxa" w:w="1123"/>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181"/>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15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bl>
    <w:p>
      <w:pPr>
        <w:pStyle w:val="Heading1"/>
        <w:keepNext/>
      </w:pPr>
      <w:r>
        <w:t>Final report checklist</w:t>
      </w:r>
    </w:p>
    <w:p>
      <w:pPr>
        <w:pStyle w:val="ListBullet"/>
        <w:spacing w:after="60"/>
      </w:pPr>
      <w:r>
        <w:t>The report states the audit boundary, date, tools, rendering mode, data period, and known limitations.</w:t>
      </w:r>
    </w:p>
    <w:p>
      <w:pPr>
        <w:pStyle w:val="ListBullet"/>
        <w:spacing w:after="60"/>
      </w:pPr>
      <w:r>
        <w:t>Each priority finding is manually verified and supported by observed evidence.</w:t>
      </w:r>
    </w:p>
    <w:p>
      <w:pPr>
        <w:pStyle w:val="ListBullet"/>
        <w:spacing w:after="60"/>
      </w:pPr>
      <w:r>
        <w:t>The recommendation names an owner, scope, dependency, effort, implementation risk, and validation method.</w:t>
      </w:r>
    </w:p>
    <w:p>
      <w:pPr>
        <w:pStyle w:val="ListBullet"/>
        <w:spacing w:after="60"/>
      </w:pPr>
      <w:r>
        <w:t>Tool warnings, hypotheses, accepted risks, and confirmed issues are clearly distinguished.</w:t>
      </w:r>
    </w:p>
    <w:p>
      <w:pPr>
        <w:pStyle w:val="ListBullet"/>
        <w:spacing w:after="60"/>
      </w:pPr>
      <w:r>
        <w:t>The executive summary contains only the issues that materially affect the site’s goals.</w:t>
      </w:r>
    </w:p>
    <w:p>
      <w:pPr>
        <w:pStyle w:val="ListBullet"/>
        <w:spacing w:after="60"/>
      </w:pPr>
      <w:r>
        <w:t>Baseline metrics are recorded before fixes begin.</w:t>
      </w:r>
    </w:p>
    <w:p>
      <w:pPr>
        <w:pStyle w:val="ListBullet"/>
        <w:spacing w:after="60"/>
      </w:pPr>
      <w:r>
        <w:t>Canonical, robots, sitemap, Core Web Vitals, and structured-data language follows current official guidance.</w:t>
      </w:r>
    </w:p>
    <w:p>
      <w:pPr>
        <w:pStyle w:val="ListBullet"/>
        <w:spacing w:after="60"/>
      </w:pPr>
      <w:r>
        <w:t>No ranking, traffic, rich-result, or indexation guarantee is implied.</w:t>
      </w:r>
    </w:p>
    <w:tbl>
      <w:tblPr>
        <w:tblW w:type="auto" w:w="0"/>
        <w:jc w:val="center"/>
        <w:tblLayout w:type="fixed"/>
        <w:tblLook w:firstColumn="1" w:firstRow="1" w:lastColumn="0" w:lastRow="0" w:noHBand="0" w:noVBand="1" w:val="04A0"/>
      </w:tblPr>
      <w:tblGrid>
        <w:gridCol w:w="173"/>
        <w:gridCol w:w="9720"/>
      </w:tblGrid>
      <w:tr>
        <w:trPr>
          <w:cantSplit/>
        </w:trPr>
        <w:tc>
          <w:tcPr>
            <w:tcW w:type="dxa" w:w="5083"/>
            <w:shd w:fill="14515E"/>
            <w:tcMar>
              <w:top w:w="40" w:type="dxa"/>
              <w:start w:w="20" w:type="dxa"/>
              <w:bottom w:w="40" w:type="dxa"/>
              <w:end w:w="20" w:type="dxa"/>
            </w:tcMar>
            <w:tcBorders>
              <w:top w:val="nil"/>
              <w:left w:val="nil"/>
              <w:bottom w:val="nil"/>
              <w:right w:val="nil"/>
            </w:tcBorders>
          </w:tcPr>
          <w:p>
            <w:r/>
          </w:p>
        </w:tc>
        <w:tc>
          <w:tcPr>
            <w:tcW w:type="dxa" w:w="5083"/>
            <w:shd w:fill="F7F5EF"/>
            <w:tcMar>
              <w:top w:w="130" w:type="dxa"/>
              <w:start w:w="170" w:type="dxa"/>
              <w:bottom w:w="130" w:type="dxa"/>
              <w:end w:w="170" w:type="dxa"/>
            </w:tcMar>
            <w:tcBorders>
              <w:top w:val="nil"/>
              <w:left w:val="nil"/>
              <w:bottom w:val="nil"/>
              <w:right w:val="nil"/>
            </w:tcBorders>
          </w:tcPr>
          <w:p>
            <w:pPr>
              <w:spacing w:after="60"/>
            </w:pPr>
            <w:r>
              <w:rPr>
                <w:rFonts w:ascii="Aptos" w:hAnsi="Aptos"/>
                <w:b/>
                <w:color w:val="0A222D"/>
              </w:rPr>
              <w:t>SEO use note</w:t>
            </w:r>
          </w:p>
          <w:p>
            <w:pPr>
              <w:spacing w:after="0"/>
            </w:pPr>
            <w:r>
              <w:t>Search visibility depends on technical implementation, content quality, competition, search-engine changes, and user behavior. This template does not guarantee rankings or traffic outcomes. Validate recommendations against current platform documentation, the site’s business context, and qualified technical review.</w:t>
            </w:r>
          </w:p>
        </w:tc>
      </w:tr>
    </w:tbl>
    <w:p>
      <w:pPr>
        <w:spacing w:after="0"/>
      </w:pPr>
    </w:p>
    <w:p>
      <w:pPr>
        <w:pStyle w:val="Heading1"/>
        <w:keepNext/>
      </w:pPr>
      <w:r>
        <w:t>References</w:t>
      </w:r>
    </w:p>
    <w:p>
      <w:pPr>
        <w:spacing w:after="58"/>
      </w:pPr>
      <w:r>
        <w:t>[1] Google Search Central, Introduction to robots.txt — https://developers.google.com/search/docs/crawling-indexing/robots/intro</w:t>
      </w:r>
    </w:p>
    <w:p>
      <w:pPr>
        <w:spacing w:after="58"/>
      </w:pPr>
      <w:r>
        <w:t>[2] Google Search Central, How to specify a canonical URL — https://developers.google.com/search/docs/crawling-indexing/consolidate-duplicate-urls</w:t>
      </w:r>
    </w:p>
    <w:p>
      <w:pPr>
        <w:spacing w:after="58"/>
      </w:pPr>
      <w:r>
        <w:t>[3] Google Search Central, Learn about sitemaps — https://developers.google.com/search/docs/crawling-indexing/sitemaps/overview</w:t>
      </w:r>
    </w:p>
    <w:p>
      <w:pPr>
        <w:spacing w:after="58"/>
      </w:pPr>
      <w:r>
        <w:t>[4] Google Search Central, Understanding Core Web Vitals and Google search results — https://developers.google.com/search/docs/appearance/core-web-vitals</w:t>
      </w:r>
    </w:p>
    <w:sectPr w:rsidR="00FC693F" w:rsidRPr="0006063C" w:rsidSect="00034616">
      <w:headerReference w:type="default" r:id="rId9"/>
      <w:footerReference w:type="default" r:id="rId10"/>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A6770"/>
        <w:sz w:val="16"/>
      </w:rPr>
      <w:t xml:space="preserve">SEO Audit Report Template  •  salishseaconsulting.com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2BB7A3"/>
        <w:sz w:val="16"/>
      </w:rPr>
      <w:t>SALISH SEA CONSULTING  /  TEMPLATE LIBRARY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411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0A222D"/>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w:hAnsi="Aptos"/>
      <w:b/>
      <w:bCs/>
      <w:color w:val="14515E"/>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ptos" w:hAnsi="Aptos"/>
      <w:b/>
      <w:bCs/>
      <w:color w:val="1D6F5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0A222D"/>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pPr>
      <w:spacing w:after="140"/>
    </w:pPr>
    <w:rPr>
      <w:rFonts w:ascii="Aptos" w:hAnsi="Aptos"/>
      <w:b/>
      <w:color w:val="2BB7A3"/>
      <w:sz w:val="17"/>
    </w:rPr>
  </w:style>
  <w:style w:type="character" w:customStyle="1" w:styleId="Placeholder">
    <w:name w:val="Placeholder"/>
    <w:rPr>
      <w:rFonts w:ascii="Aptos" w:hAnsi="Aptos"/>
      <w:i/>
      <w:color w:val="1D6F5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 Audit Report Template</dc:title>
  <dc:subject>Evidence-led report for nine technical issue classes, prioritization, implementation, validation, and official references.</dc:subject>
  <dc:creator>Salish Sea Consulting</dc:creator>
  <cp:keywords>Salish Sea Consulting, editable template, small organization, sustainability, communications</cp:keywords>
  <dc:description>Version 1.0 — created for the SSC Template Library.</dc:description>
  <cp:lastModifiedBy>Salish Sea Consulting</cp:lastModifiedBy>
  <cp:revision>1</cp:revision>
  <dcterms:created xsi:type="dcterms:W3CDTF">2026-08-31T21:32:37Z</dcterms:created>
  <dcterms:modified xsi:type="dcterms:W3CDTF">2026-08-31T21:32:37Z</dcterms:modified>
  <cp:category/>
</cp:coreProperties>
</file>