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left"/>
      </w:pPr>
      <w:r>
        <w:drawing>
          <wp:inline xmlns:a="http://schemas.openxmlformats.org/drawingml/2006/main" xmlns:pic="http://schemas.openxmlformats.org/drawingml/2006/picture">
            <wp:extent cx="1417320" cy="648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c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48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yebrow"/>
      </w:pPr>
      <w:r>
        <w:t>PROJECT SCOPE, DELIVERY &amp; ACCEPTANCE</w:t>
      </w:r>
    </w:p>
    <w:p>
      <w:pPr>
        <w:pStyle w:val="Title"/>
      </w:pPr>
      <w:r>
        <w:t>Statement of Work Template</w:t>
      </w:r>
    </w:p>
    <w:p>
      <w:pPr>
        <w:spacing w:after="320"/>
      </w:pPr>
      <w:r>
        <w:rPr>
          <w:rFonts w:ascii="Aptos" w:hAnsi="Aptos"/>
          <w:color w:val="14515E"/>
          <w:sz w:val="28"/>
        </w:rPr>
        <w:t>Translate a commercial or partnership understanding into testable scope, deliverables, responsibilities, acceptance, change, and governance terms.</w:t>
      </w:r>
    </w:p>
    <w:p>
      <w:pPr>
        <w:spacing w:before="1800" w:after="160"/>
      </w:pPr>
      <w:r>
        <w:rPr>
          <w:rFonts w:ascii="Aptos" w:hAnsi="Aptos"/>
          <w:b/>
          <w:color w:val="2BB7A3"/>
          <w:sz w:val="17"/>
        </w:rPr>
        <w:t>VERSION 1.0  •  AUGUST 2026</w:t>
      </w:r>
    </w:p>
    <w:p>
      <w:r>
        <w:rPr>
          <w:rFonts w:ascii="Aptos" w:hAnsi="Aptos"/>
          <w:color w:val="5A6770"/>
          <w:sz w:val="20"/>
        </w:rPr>
        <w:t>Built for clear decisions, defensible communication, and practical reuse.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20"/>
      </w:tblGrid>
      <w:tr>
        <w:trPr>
          <w:cantSplit/>
        </w:trPr>
        <w:tc>
          <w:tcPr>
            <w:tcW w:type="dxa" w:w="5083"/>
            <w:shd w:fill="2BB7A3"/>
            <w:tcMar>
              <w:top w:w="40" w:type="dxa"/>
              <w:start w:w="20" w:type="dxa"/>
              <w:bottom w:w="4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5083"/>
            <w:shd w:fill="EEF4F4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0A222D"/>
              </w:rPr>
              <w:t>Draft — qualified legal review required</w:t>
            </w:r>
          </w:p>
          <w:p>
            <w:pPr>
              <w:spacing w:after="0"/>
            </w:pPr>
            <w:r>
              <w:t>This working template captures project and delivery terms. It is not a complete contract and does not supply universal liability, indemnity, warranty, intellectual-property, confidentiality, privacy, insurance, dispute, termination, governing-law, employment, tax, or regulatory provisions. Use it with an approved master agreement or qualified attorney review.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How to use this template</w:t>
      </w:r>
    </w:p>
    <w:p>
      <w:pPr>
        <w:pStyle w:val="ListNumber"/>
        <w:spacing w:after="60"/>
      </w:pPr>
      <w:r>
        <w:t>Confirm the governing agreement, parties, authorized representatives, project decision rights, and precedence of documents.</w:t>
      </w:r>
    </w:p>
    <w:p>
      <w:pPr>
        <w:pStyle w:val="ListNumber"/>
        <w:spacing w:after="60"/>
      </w:pPr>
      <w:r>
        <w:t>Define the objective, measurable success conditions, included work, excluded work, dependencies, and assumptions before pricing.</w:t>
      </w:r>
    </w:p>
    <w:p>
      <w:pPr>
        <w:pStyle w:val="ListNumber"/>
        <w:spacing w:after="60"/>
      </w:pPr>
      <w:r>
        <w:t>Write each deliverable with format, quantity, due date, owner, inputs, review window, and objective acceptance criteria.</w:t>
      </w:r>
    </w:p>
    <w:p>
      <w:pPr>
        <w:pStyle w:val="ListNumber"/>
        <w:spacing w:after="60"/>
      </w:pPr>
      <w:r>
        <w:t>Separate acceptance from preference: define defects, required corrections, deemed acceptance, and escalation only through approved legal review.</w:t>
      </w:r>
    </w:p>
    <w:p>
      <w:pPr>
        <w:pStyle w:val="ListNumber"/>
        <w:spacing w:after="60"/>
      </w:pPr>
      <w:r>
        <w:t>Tie changes to a written request, impact assessment, authorization, and revised baseline before changed work begins.</w:t>
      </w:r>
    </w:p>
    <w:p>
      <w:pPr>
        <w:pStyle w:val="ListNumber"/>
        <w:spacing w:after="60"/>
      </w:pPr>
      <w:r>
        <w:t>Align fees, expenses, invoicing, schedule, staffing, access, data, security, and closeout with the governing agreement and actual delivery model.</w:t>
      </w:r>
    </w:p>
    <w:p>
      <w:r>
        <w:br w:type="page"/>
      </w:r>
    </w:p>
    <w:p>
      <w:pPr>
        <w:pStyle w:val="Heading1"/>
        <w:keepNext/>
      </w:pPr>
      <w:r>
        <w:t>SOW control and agreement context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SOW title / number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[Project name and unique identifier]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Client / customer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[Full legal name, address, and authorized representative]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Provider / contractor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[Full legal name, address, and authorized representative]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Governing agreement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[Master agreement / contract number, effective date, and order of precedence]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Effective / start date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 and any prerequisite to start]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Target completion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[Date, milestone, or period]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SOW owners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[Client and provider project leads; commercial and legal contacts]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Budget / fee basis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[Fixed fee, time and materials, milestone, retainer, not-to-exceed, or other approved basis]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Approval authority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[Who may accept deliverables, approve changes, incur expenses, and amend the SOW]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Version / status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[Draft / review / approved; version and date]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Purpose, objectives, and success conditions</w:t>
      </w:r>
    </w:p>
    <w:p>
      <w:pPr>
        <w:spacing w:after="140"/>
      </w:pPr>
      <w:r>
        <w:rPr>
          <w:color w:val="1D6F5F"/>
        </w:rPr>
        <w:t>The purpose of this Statement of Work is to [design / implement / deliver / evaluate] [project or service] for [client/user] so that [business, mission, operational, or user outcome].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Objective 1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[Outcome stated in measurable or verifiable terms]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Objective 2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Success condition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[Observable condition, metric, threshold, or acceptance result]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Primary users / stakeholders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[Who participates, approves, receives, or is affected]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Constraints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[Deadline, budget, system, staffing, policy, geography, accessibility, procurement, or regulatory constraint]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Non-goals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[Work or outcomes this SOW intentionally does not promise]</w:t>
            </w:r>
          </w:p>
        </w:tc>
      </w:tr>
    </w:tbl>
    <w:p>
      <w:pPr>
        <w:pStyle w:val="Heading1"/>
        <w:keepNext/>
      </w:pPr>
      <w:r>
        <w:t>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In scope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[Activities, workstreams, locations, systems, audiences, products, services, and quantities included]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Out of scope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[Explicit exclusions, adjacent work, ongoing support, data cleanup, procurement, translation, migration, travel, or third-party fees not included]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Delivery approach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[Phases, method, work location, collaboration model, tooling, and quality process]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Client inputs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[Decisions, data, access, content, facilities, staff, approvals, and turnaround required]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Third parties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[Subcontractor, vendor, partner, platform, licensor, or regulator dependencies]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Accessibility / inclusion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[Applicable accessibility, language, participation, safeguarding, or accommodation requirements]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Deliverables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944"/>
        <w:gridCol w:w="1512"/>
        <w:gridCol w:w="1224"/>
        <w:gridCol w:w="1656"/>
        <w:gridCol w:w="1152"/>
        <w:gridCol w:w="2088"/>
        <w:gridCol w:w="1152"/>
      </w:tblGrid>
      <w:tr>
        <w:trPr>
          <w:tblHeader w:val="true"/>
        </w:trPr>
        <w:tc>
          <w:tcPr>
            <w:tcW w:type="dxa" w:w="7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Format</w:t>
            </w:r>
          </w:p>
        </w:tc>
        <w:tc>
          <w:tcPr>
            <w:tcW w:type="dxa" w:w="122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Input</w:t>
            </w:r>
          </w:p>
        </w:tc>
        <w:tc>
          <w:tcPr>
            <w:tcW w:type="dxa" w:w="115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208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Acceptance</w:t>
            </w:r>
          </w:p>
        </w:tc>
        <w:tc>
          <w:tcPr>
            <w:tcW w:type="dxa" w:w="115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Review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[D-01]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[Deliverable name / description]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[Format / quantity / location]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[Provider owner]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[Client input / due]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[Delivery date]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[Acceptance criteria]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[Review window]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[D-02]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[D-03]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Submission method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[Repository, email, portal, system, meeting, environment, or physical location]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Review process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[Named reviewer, consolidated feedback, review period, and communication channel]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Acceptance record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[Written approval, system status, meeting record, or other authorized evidence]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Defect / correction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[Difference from stated acceptance criteria; correction method and timing subject to governing agreement]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Preference / change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[Request outside the baseline acceptance criteria; route through change control]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Partial acceptance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[Whether and how separable deliverables may be accepted]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20"/>
      </w:tblGrid>
      <w:tr>
        <w:trPr>
          <w:cantSplit/>
        </w:trPr>
        <w:tc>
          <w:tcPr>
            <w:tcW w:type="dxa" w:w="5083"/>
            <w:shd w:fill="2BB7A3"/>
            <w:tcMar>
              <w:top w:w="40" w:type="dxa"/>
              <w:start w:w="20" w:type="dxa"/>
              <w:bottom w:w="4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5083"/>
            <w:shd w:fill="EEF4F4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0A222D"/>
              </w:rPr>
              <w:t>Acceptance requires an objective baseline</w:t>
            </w:r>
          </w:p>
          <w:p>
            <w:pPr>
              <w:spacing w:after="0"/>
            </w:pPr>
            <w:r>
              <w:t>Avoid phrases such as “to the client’s satisfaction” unless qualified counsel approves them. Acceptance should refer to stated, verifiable criteria and an authorized review record.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Schedule and milestones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944"/>
        <w:gridCol w:w="1944"/>
        <w:gridCol w:w="1224"/>
        <w:gridCol w:w="1152"/>
        <w:gridCol w:w="1728"/>
        <w:gridCol w:w="1800"/>
      </w:tblGrid>
      <w:tr>
        <w:trPr>
          <w:tblHeader w:val="true"/>
        </w:trPr>
        <w:tc>
          <w:tcPr>
            <w:tcW w:type="dxa" w:w="7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Milestone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Dependency</w:t>
            </w:r>
          </w:p>
        </w:tc>
        <w:tc>
          <w:tcPr>
            <w:tcW w:type="dxa" w:w="122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5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Effect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[M-01]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[Milestone / decision]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[Prerequisite / dependency]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[Evidence / approval]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[Schedule effect if late]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[M-02]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[M-03]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Working calendar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[Business days, holidays, working hours, time zone, blackout dates]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Dependency rule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[How dates adjust when authorized client/third-party inputs or approvals are late]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Status cadence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[Meeting / report frequency, participants, format, and decision log]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Schedule escalation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[Threshold, notice route, recovery plan, and authorized decision-maker]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Roles, responsibilities, and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2016"/>
        <w:gridCol w:w="1584"/>
        <w:gridCol w:w="1800"/>
        <w:gridCol w:w="1800"/>
        <w:gridCol w:w="1512"/>
      </w:tblGrid>
      <w:tr>
        <w:trPr>
          <w:tblHeader w:val="true"/>
        </w:trPr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Rights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Inputs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Expectation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Escalation</w:t>
            </w:r>
          </w:p>
        </w:tc>
      </w:tr>
      <w:tr>
        <w:trPr>
          <w:cantSplit/>
        </w:trPr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[Role / party]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[Responsibilities]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[Decision rights]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[Inputs / approvals]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[Service or response expectation]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[Backup / escalation]</w:t>
            </w:r>
          </w:p>
        </w:tc>
      </w:tr>
      <w:tr>
        <w:trPr>
          <w:cantSplit/>
        </w:trPr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[Client sponsor]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[Client project lead]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[Provider project lead]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[Subject expert / vendor]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pPr>
        <w:pStyle w:val="Heading1"/>
        <w:keepNext/>
      </w:pPr>
      <w:r>
        <w:t>Assumptions, constraints, and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2592"/>
        <w:gridCol w:w="1296"/>
        <w:gridCol w:w="1800"/>
        <w:gridCol w:w="1944"/>
        <w:gridCol w:w="1800"/>
      </w:tblGrid>
      <w:tr>
        <w:trPr>
          <w:tblHeader w:val="true"/>
        </w:trPr>
        <w:tc>
          <w:tcPr>
            <w:tcW w:type="dxa" w:w="86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5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Assumption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Validate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Effect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86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[A-01]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[Assumption / dependency]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[Validation date / evidence]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[Effect if false]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[Response / change route]</w:t>
            </w:r>
          </w:p>
        </w:tc>
      </w:tr>
      <w:tr>
        <w:trPr>
          <w:cantSplit/>
        </w:trPr>
        <w:tc>
          <w:tcPr>
            <w:tcW w:type="dxa" w:w="86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[A-02]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86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[A-03]</w:t>
            </w:r>
          </w:p>
        </w:tc>
        <w:tc>
          <w:tcPr>
            <w:tcW w:type="dxa" w:w="25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Change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Change trigger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[Scope, quantity, acceptance, schedule, dependency, staffing, access, data, location, legal requirement, or budget change]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Request content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[Requested change, reason, urgency, affected baseline, and requester]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Impact assessment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[Scope, deliverables, schedule, fee, expense, resource, quality, risk, data/security, and dependency effect]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Authorization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[Named roles with authority; written approval format]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Baseline update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[Version, effective date, revised schedule/budget/deliverables, and distribution]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Work before approval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[No changed work begins unless an authorized exception is documented under the governing agreement]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2088"/>
        <w:gridCol w:w="1656"/>
        <w:gridCol w:w="2232"/>
        <w:gridCol w:w="1152"/>
        <w:gridCol w:w="1656"/>
        <w:gridCol w:w="1296"/>
      </w:tblGrid>
      <w:tr>
        <w:trPr>
          <w:tblHeader w:val="true"/>
        </w:trPr>
        <w:tc>
          <w:tcPr>
            <w:tcW w:type="dxa" w:w="93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08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Requester</w:t>
            </w:r>
          </w:p>
        </w:tc>
        <w:tc>
          <w:tcPr>
            <w:tcW w:type="dxa" w:w="223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115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Cost/time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Version</w:t>
            </w:r>
          </w:p>
        </w:tc>
      </w:tr>
      <w:tr>
        <w:trPr>
          <w:cantSplit/>
        </w:trPr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[CR-01]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[Request]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[Requested by / date]</w:t>
            </w:r>
          </w:p>
        </w:tc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[Impact summary]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/ days]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[Decision / authority]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[Baseline version]</w:t>
            </w:r>
          </w:p>
        </w:tc>
      </w:tr>
      <w:tr>
        <w:trPr>
          <w:cantSplit/>
        </w:trPr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[CR-02]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Fees, invoicing, and expenses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Fee basis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[Fixed fee / time and materials / milestone / retainer / not-to-exceed / approved other]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Fee schedule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[Amount, milestone, period, rate card, cap, or calculation]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Invoice timing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[Deposit, monthly, milestone, completion, acceptance, or other]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Invoice support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[Timesheet, deliverable evidence, expense receipts, purchase order, tax detail, or portal fields]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Payment terms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[Reference governing agreement; do not improvise conflicting terms]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Expenses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[Included, excluded, pre-approved categories, travel rules, markup, currency, tax, and evidence]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Taxes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[Allocation and documentation subject to governing agreement and qualified tax/legal review]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Budget control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[Not-to-exceed amount, alert threshold, forecast cadence, and authority to approve overage]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3024"/>
        <w:gridCol w:w="1296"/>
        <w:gridCol w:w="1440"/>
        <w:gridCol w:w="1728"/>
        <w:gridCol w:w="1440"/>
      </w:tblGrid>
      <w:tr>
        <w:trPr>
          <w:tblHeader w:val="true"/>
        </w:trPr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When</w:t>
            </w:r>
          </w:p>
        </w:tc>
        <w:tc>
          <w:tcPr>
            <w:tcW w:type="dxa" w:w="302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Basis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Fee</w:t>
            </w:r>
          </w:p>
        </w:tc>
        <w:tc>
          <w:tcPr>
            <w:tcW w:type="dxa" w:w="144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Expense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144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Reference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[Milestone / period]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[Deliverable / service]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fee]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approved expenses]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[Invoice trigger]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[Client reference / PO]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TOTAL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Data, systems, security, and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Data / information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[Categories, source, owner/controller, sensitivity, and purpose]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Access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[Systems, accounts, facilities, role/least privilege, approval, start/end, and authentication]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Transfer / storage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[Approved channels, locations, vendors, devices, encryption, backup, and restrictions]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Privacy / consent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[Notices, permissions, data subject/participant needs, retention, deletion, and incident route]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Security / incident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[Applicable security schedule, reporting route, contacts, containment, evidence, and legal review]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Deliverable records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[Authoritative source, version, acceptance record, storage, retention, and return/destruction]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Intellectual property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[Reference only the governing agreement or counsel-approved project-specific terms]</w:t>
            </w:r>
          </w:p>
        </w:tc>
      </w:tr>
    </w:tbl>
    <w:p>
      <w:pPr>
        <w:pStyle w:val="Heading1"/>
        <w:keepNext/>
      </w:pPr>
      <w:r>
        <w:t>Risk, issues, and closeout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2376"/>
        <w:gridCol w:w="1944"/>
        <w:gridCol w:w="1296"/>
        <w:gridCol w:w="2088"/>
        <w:gridCol w:w="1872"/>
      </w:tblGrid>
      <w:tr>
        <w:trPr>
          <w:tblHeader w:val="true"/>
        </w:trPr>
        <w:tc>
          <w:tcPr>
            <w:tcW w:type="dxa" w:w="93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37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Risk / issue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8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  <w:tc>
          <w:tcPr>
            <w:tcW w:type="dxa" w:w="187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Escalation</w:t>
            </w:r>
          </w:p>
        </w:tc>
      </w:tr>
      <w:tr>
        <w:trPr>
          <w:cantSplit/>
        </w:trPr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[RI-01]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[Risk / issue]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[Trigger / evidence]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[Response]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[Escalation / decision]</w:t>
            </w:r>
          </w:p>
        </w:tc>
      </w:tr>
      <w:tr>
        <w:trPr>
          <w:cantSplit/>
        </w:trPr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 xml:space="preserve"> [RI-02]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Completion conditions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[Accepted deliverables, paid/issued invoices, resolved changes, transferred records/assets, removed access, and open support items]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Transition / handoff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[Training, documentation, credentials, files, vendor contacts, backlog, and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Final acceptance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[Authorized record and date]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Lessons learned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[What changed, evidence, owner, and future action]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Ongoing support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[If any, reference a separate approved support arrangement]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Review and signature routing</w:t>
      </w:r>
    </w:p>
    <w:p>
      <w:pPr>
        <w:pStyle w:val="ListBullet"/>
        <w:spacing w:after="60"/>
      </w:pPr>
      <w:r>
        <w:t>The governing agreement, parties, authority, document precedence, start condition, and version are verified.</w:t>
      </w:r>
    </w:p>
    <w:p>
      <w:pPr>
        <w:pStyle w:val="ListBullet"/>
        <w:spacing w:after="60"/>
      </w:pPr>
      <w:r>
        <w:t>Objectives, in-scope and out-of-scope work, deliverables, acceptance criteria, schedule, responsibilities, assumptions, and dependencies are aligned.</w:t>
      </w:r>
    </w:p>
    <w:p>
      <w:pPr>
        <w:pStyle w:val="ListBullet"/>
        <w:spacing w:after="60"/>
      </w:pPr>
      <w:r>
        <w:t>Fees, expenses, taxes, invoicing, procurement, data, security, records, accessibility, and third-party requirements match approved terms and practice.</w:t>
      </w:r>
    </w:p>
    <w:p>
      <w:pPr>
        <w:pStyle w:val="ListBullet"/>
        <w:spacing w:after="60"/>
      </w:pPr>
      <w:r>
        <w:t>Change control defines who may request, assess, approve, and baseline changes before work proceeds.</w:t>
      </w:r>
    </w:p>
    <w:p>
      <w:pPr>
        <w:pStyle w:val="ListBullet"/>
        <w:spacing w:after="60"/>
      </w:pPr>
      <w:r>
        <w:t>Qualified reviewers addressed liability, indemnity, warranty, IP, confidentiality, privacy, insurance, employment, tax, termination, dispute, governing law, and regulatory terms in the controlling agreement.</w:t>
      </w:r>
    </w:p>
    <w:p>
      <w:pPr>
        <w:pStyle w:val="ListBullet"/>
        <w:spacing w:after="60"/>
      </w:pPr>
      <w:r>
        <w:t>The final SOW is signed only by authorized representatives and stored with the controlling agreement and change records.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Client authorized representative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[Name, title, signature, date — if approved by counsel]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Provider authorized representative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[Name, title, signature, date — if approved by counsel]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Legal / procurement review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[Reviewer, date, approved governing agreement / deviations]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Final repository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[Authoritative location and version]</w:t>
            </w:r>
          </w:p>
        </w:tc>
      </w:tr>
    </w:tbl>
    <w:p>
      <w:pPr>
        <w:spacing w:before="80" w:after="0"/>
      </w:pPr>
      <w:r>
        <w:rPr>
          <w:rFonts w:ascii="Aptos" w:hAnsi="Aptos"/>
          <w:color w:val="5A6770"/>
          <w:sz w:val="15"/>
        </w:rPr>
        <w:t>Use note: This working SOW is not a complete contract or legal advice. Do not sign or use it as a standalone agreement unless qualified counsel confirms the governing terms, jurisdiction, authority, risk allocation, and required clauses.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6770"/>
        <w:sz w:val="16"/>
      </w:rPr>
      <w:t xml:space="preserve">Statement of Work Template  •  salishseaconsulting.com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2BB7A3"/>
        <w:sz w:val="16"/>
      </w:rPr>
      <w:t>SALISH SEA CONSULTING  /  TEMPLATE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411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2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4515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D6F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A222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140"/>
    </w:pPr>
    <w:rPr>
      <w:rFonts w:ascii="Aptos" w:hAnsi="Aptos"/>
      <w:b/>
      <w:color w:val="2BB7A3"/>
      <w:sz w:val="17"/>
    </w:rPr>
  </w:style>
  <w:style w:type="character" w:customStyle="1" w:styleId="Placeholder">
    <w:name w:val="Placeholder"/>
    <w:rPr>
      <w:rFonts w:ascii="Aptos" w:hAnsi="Aptos"/>
      <w:i/>
      <w:color w:val="1D6F5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SSC Statement of Work Template</dc:title>
  <dc:subject>Editable Salish Sea Consulting Template Library resource</dc:subject>
  <dc:creator>Salish Sea Consulting</dc:creator>
  <cp:keywords>Salish Sea Consulting, template library, editable template, Release 3</cp:keywords>
  <dc:description>Version 1.0 | Published August 31, 2026</dc:description>
  <cp:lastModifiedBy>Salish Sea Consulting</cp:lastModifiedBy>
  <cp:revision>1</cp:revision>
  <dcterms:created xsi:type="dcterms:W3CDTF">2013-12-23T23:15:00Z</dcterms:created>
  <dcterms:modified xsi:type="dcterms:W3CDTF">2026-08-31T22:45:09Z</dcterms:modified>
  <cp:category/>
</cp:coreProperties>
</file>