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left"/>
      </w:pPr>
      <w:r>
        <w:drawing>
          <wp:inline xmlns:a="http://schemas.openxmlformats.org/drawingml/2006/main" xmlns:pic="http://schemas.openxmlformats.org/drawingml/2006/picture">
            <wp:extent cx="1417320" cy="648874"/>
            <wp:docPr id="1" name="Picture 1"/>
            <wp:cNvGraphicFramePr>
              <a:graphicFrameLocks noChangeAspect="1"/>
            </wp:cNvGraphicFramePr>
            <a:graphic>
              <a:graphicData uri="http://schemas.openxmlformats.org/drawingml/2006/picture">
                <pic:pic>
                  <pic:nvPicPr>
                    <pic:cNvPr id="0" name="ssc-logo.png"/>
                    <pic:cNvPicPr/>
                  </pic:nvPicPr>
                  <pic:blipFill>
                    <a:blip r:embed="rId11"/>
                    <a:stretch>
                      <a:fillRect/>
                    </a:stretch>
                  </pic:blipFill>
                  <pic:spPr>
                    <a:xfrm>
                      <a:off x="0" y="0"/>
                      <a:ext cx="1417320" cy="648874"/>
                    </a:xfrm>
                    <a:prstGeom prst="rect"/>
                  </pic:spPr>
                </pic:pic>
              </a:graphicData>
            </a:graphic>
          </wp:inline>
        </w:drawing>
      </w:r>
    </w:p>
    <w:p>
      <w:pPr>
        <w:pStyle w:val="Eyebrow"/>
      </w:pPr>
      <w:r>
        <w:t>VOLUNTEER MANAGEMENT &amp; ORGANIZATIONAL SAFEGUARDS</w:t>
      </w:r>
    </w:p>
    <w:p>
      <w:pPr>
        <w:pStyle w:val="Title"/>
      </w:pPr>
      <w:r>
        <w:t>Volunteer Agreement Template</w:t>
      </w:r>
    </w:p>
    <w:p>
      <w:pPr>
        <w:spacing w:after="320"/>
      </w:pPr>
      <w:r>
        <w:rPr>
          <w:rFonts w:ascii="Aptos" w:hAnsi="Aptos"/>
          <w:color w:val="14515E"/>
          <w:sz w:val="28"/>
        </w:rPr>
        <w:t>Set clear expectations for volunteer service while separating operational terms from clauses that require legal review.</w:t>
      </w:r>
    </w:p>
    <w:p>
      <w:pPr>
        <w:spacing w:before="1800" w:after="160"/>
      </w:pPr>
      <w:r>
        <w:rPr>
          <w:rFonts w:ascii="Aptos" w:hAnsi="Aptos"/>
          <w:b/>
          <w:color w:val="2BB7A3"/>
          <w:sz w:val="17"/>
        </w:rPr>
        <w:t>VERSION 1.0  •  AUGUST 2026</w:t>
      </w:r>
    </w:p>
    <w:p>
      <w:r>
        <w:rPr>
          <w:rFonts w:ascii="Aptos" w:hAnsi="Aptos"/>
          <w:color w:val="5A6770"/>
          <w:sz w:val="20"/>
        </w:rPr>
        <w:t>Built for clear decisions, defensible communication, and practical reuse.</w:t>
      </w:r>
    </w:p>
    <w:p>
      <w:r>
        <w:br w:type="page"/>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14515E"/>
            <w:tcMar>
              <w:top w:w="40" w:type="dxa"/>
              <w:start w:w="20" w:type="dxa"/>
              <w:bottom w:w="40" w:type="dxa"/>
              <w:end w:w="20" w:type="dxa"/>
            </w:tcMar>
            <w:tcBorders>
              <w:top w:val="nil"/>
              <w:left w:val="nil"/>
              <w:bottom w:val="nil"/>
              <w:right w:val="nil"/>
            </w:tcBorders>
          </w:tcPr>
          <w:p>
            <w:r/>
          </w:p>
        </w:tc>
        <w:tc>
          <w:tcPr>
            <w:tcW w:type="dxa" w:w="5083"/>
            <w:shd w:fill="F7F5EF"/>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Draft — qualified legal review required</w:t>
            </w:r>
          </w:p>
          <w:p>
            <w:pPr>
              <w:spacing w:after="0"/>
            </w:pPr>
            <w:r>
              <w:t>This is a working template, not formal legal advice. Volunteer status, screening, confidentiality, privacy, intellectual property, waivers, releases, insurance, youth participation, and termination rules vary by jurisdiction and activity. Have a qualified attorney review the completed document before use.</w:t>
            </w:r>
          </w:p>
        </w:tc>
      </w:tr>
    </w:tbl>
    <w:p>
      <w:pPr>
        <w:spacing w:after="0"/>
      </w:pPr>
    </w:p>
    <w:p>
      <w:pPr>
        <w:pStyle w:val="Heading1"/>
        <w:keepNext/>
      </w:pPr>
      <w:r>
        <w:t>How to use this template</w:t>
      </w:r>
    </w:p>
    <w:p>
      <w:r>
        <w:t>Use this agreement with a written role description, volunteer handbook, safeguarding and incident policies, privacy notice, and any activity-specific forms approved for your organization. Remove provisions that do not apply. Do not add a liability waiver, indemnity, IP assignment, media release, medical authorization, background-check consent, or arbitration clause without jurisdiction-specific legal review.</w:t>
      </w:r>
    </w:p>
    <w:p>
      <w:pPr>
        <w:pStyle w:val="ListNumber"/>
        <w:spacing w:after="60"/>
      </w:pPr>
      <w:r>
        <w:t>Define the actual role, supervisor, schedule, location, eligibility, screening, training, and physical or digital access.</w:t>
      </w:r>
    </w:p>
    <w:p>
      <w:pPr>
        <w:pStyle w:val="ListNumber"/>
        <w:spacing w:after="60"/>
      </w:pPr>
      <w:r>
        <w:t>Identify the policies the volunteer must receive and acknowledge before service begins.</w:t>
      </w:r>
    </w:p>
    <w:p>
      <w:pPr>
        <w:pStyle w:val="ListNumber"/>
        <w:spacing w:after="60"/>
      </w:pPr>
      <w:r>
        <w:t>Describe expenses, benefits, equipment, data access, and time expectations without implying wages or guaranteed employment.</w:t>
      </w:r>
    </w:p>
    <w:p>
      <w:pPr>
        <w:pStyle w:val="ListNumber"/>
        <w:spacing w:after="60"/>
      </w:pPr>
      <w:r>
        <w:t>Use the optional counsel-review table to identify separate forms or approved clauses required for the activity.</w:t>
      </w:r>
    </w:p>
    <w:p>
      <w:pPr>
        <w:pStyle w:val="ListNumber"/>
        <w:spacing w:after="60"/>
      </w:pPr>
      <w:r>
        <w:t>Review accessibility, safeguarding, youth, driving, travel, fieldwork, food, money handling, and regulated-service risks.</w:t>
      </w:r>
    </w:p>
    <w:p>
      <w:pPr>
        <w:pStyle w:val="ListNumber"/>
        <w:spacing w:after="60"/>
      </w:pPr>
      <w:r>
        <w:t>Give both parties a signed copy and retain the authoritative version under the organization’s approved records policy.</w:t>
      </w:r>
    </w:p>
    <w:p>
      <w:r>
        <w:br w:type="page"/>
      </w:r>
    </w:p>
    <w:p>
      <w:pPr>
        <w:pStyle w:val="Heading1"/>
        <w:keepNext/>
      </w:pPr>
      <w:r>
        <w:t>Agreement setup and review</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Organization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[Legal name, address, and primary contact]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Volunteer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[Legal name, preferred name, address, email, and phone—collect only what is necessary]</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Role &amp; supervisor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[Role title, attached role-description version/date, supervisor name/role/contact, and backup]</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Service period &amp; schedule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[Start date, expected end/review date, whether ongoing, approximate days/hours, scheduling process, and no guaranteed hours]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Location, access &amp; screening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[On-site, remote, field, travel, system/facility/data access; age, authorization, training, reference, background, license, health/safety, or driving requirement]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Policies provided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[Code of conduct, safeguarding, confidentiality, privacy, safety, expenses, technology, incident reporting]</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Legal review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[Reviewer, jurisdiction, review date, and approved optional forms/clauses]</w:t>
            </w:r>
          </w:p>
        </w:tc>
      </w:tr>
    </w:tbl>
    <w:p>
      <w:r>
        <w:br w:type="page"/>
      </w:r>
    </w:p>
    <w:p>
      <w:pPr>
        <w:pStyle w:val="Heading1"/>
        <w:keepNext/>
      </w:pPr>
      <w:r>
        <w:t>Counsel-review decision table</w:t>
      </w:r>
    </w:p>
    <w:tbl>
      <w:tblPr>
        <w:tblW w:type="auto" w:w="0"/>
        <w:jc w:val="center"/>
        <w:tblLayout w:type="fixed"/>
        <w:tblLook w:firstColumn="1" w:firstRow="1" w:lastColumn="0" w:lastRow="0" w:noHBand="0" w:noVBand="1" w:val="04A0"/>
      </w:tblPr>
      <w:tblGrid>
        <w:gridCol w:w="2520"/>
        <w:gridCol w:w="1080"/>
        <w:gridCol w:w="6336"/>
      </w:tblGrid>
      <w:tr>
        <w:trPr>
          <w:tblHeader w:val="true"/>
        </w:trPr>
        <w:tc>
          <w:tcPr>
            <w:tcW w:type="dxa" w:w="2520"/>
            <w:shd w:fill="0A222D"/>
            <w:tcMar>
              <w:top w:w="100" w:type="dxa"/>
              <w:start w:w="120" w:type="dxa"/>
              <w:bottom w:w="100" w:type="dxa"/>
              <w:end w:w="120" w:type="dxa"/>
            </w:tcMar>
          </w:tcPr>
          <w:p>
            <w:r>
              <w:rPr>
                <w:b/>
                <w:color w:val="FFFFFF"/>
                <w:sz w:val="18"/>
              </w:rPr>
              <w:t>Situation</w:t>
            </w:r>
          </w:p>
        </w:tc>
        <w:tc>
          <w:tcPr>
            <w:tcW w:type="dxa" w:w="1080"/>
            <w:shd w:fill="0A222D"/>
            <w:tcMar>
              <w:top w:w="100" w:type="dxa"/>
              <w:start w:w="120" w:type="dxa"/>
              <w:bottom w:w="100" w:type="dxa"/>
              <w:end w:w="120" w:type="dxa"/>
            </w:tcMar>
          </w:tcPr>
          <w:p>
            <w:r>
              <w:rPr>
                <w:b/>
                <w:color w:val="FFFFFF"/>
                <w:sz w:val="18"/>
              </w:rPr>
              <w:t>Applies?</w:t>
            </w:r>
          </w:p>
        </w:tc>
        <w:tc>
          <w:tcPr>
            <w:tcW w:type="dxa" w:w="6336"/>
            <w:shd w:fill="0A222D"/>
            <w:tcMar>
              <w:top w:w="100" w:type="dxa"/>
              <w:start w:w="120" w:type="dxa"/>
              <w:bottom w:w="100" w:type="dxa"/>
              <w:end w:w="120" w:type="dxa"/>
            </w:tcMar>
          </w:tcPr>
          <w:p>
            <w:r>
              <w:rPr>
                <w:b/>
                <w:color w:val="FFFFFF"/>
                <w:sz w:val="18"/>
              </w:rPr>
              <w:t>Separate review, policy, or approved form</w:t>
            </w:r>
          </w:p>
        </w:tc>
      </w:tr>
      <w:tr>
        <w:trPr>
          <w:cantSplit/>
        </w:trPr>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Minor or youth volunteer</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[Yes / no]</w:t>
            </w:r>
          </w:p>
        </w:tc>
        <w:tc>
          <w:tcPr>
            <w:tcW w:type="dxa" w:w="63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[Guardian consent, youth protection, supervision, work-hour, and activity restrictions]</w:t>
            </w:r>
          </w:p>
        </w:tc>
      </w:tr>
      <w:tr>
        <w:trPr>
          <w:cantSplit/>
        </w:trPr>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Background / reference check</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[Yes / no]</w:t>
            </w:r>
          </w:p>
        </w:tc>
        <w:tc>
          <w:tcPr>
            <w:tcW w:type="dxa" w:w="63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[Separate authorization, privacy notice, fair-process requirements, and record handling]</w:t>
            </w:r>
          </w:p>
        </w:tc>
      </w:tr>
      <w:tr>
        <w:trPr>
          <w:cantSplit/>
        </w:trPr>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Driving / vehicle use</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[Yes / no]</w:t>
            </w:r>
          </w:p>
        </w:tc>
        <w:tc>
          <w:tcPr>
            <w:tcW w:type="dxa" w:w="63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[License, insurance, motor-vehicle record, vehicle condition, passengers, and incident process]</w:t>
            </w:r>
          </w:p>
        </w:tc>
      </w:tr>
      <w:tr>
        <w:trPr>
          <w:cantSplit/>
        </w:trPr>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Physical, field, or hazardous activity</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[Yes / no]</w:t>
            </w:r>
          </w:p>
        </w:tc>
        <w:tc>
          <w:tcPr>
            <w:tcW w:type="dxa" w:w="63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[Risk assessment, training, PPE, medical/emergency plan, waiver/release question]</w:t>
            </w:r>
          </w:p>
        </w:tc>
      </w:tr>
      <w:tr>
        <w:trPr>
          <w:cantSplit/>
        </w:trPr>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Client / beneficiary contact</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[Yes / no]</w:t>
            </w:r>
          </w:p>
        </w:tc>
        <w:tc>
          <w:tcPr>
            <w:tcW w:type="dxa" w:w="63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[Safeguarding, boundaries, mandated reporting, supervision, and confidentiality]</w:t>
            </w:r>
          </w:p>
        </w:tc>
      </w:tr>
      <w:tr>
        <w:trPr>
          <w:cantSplit/>
        </w:trPr>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Sensitive data / systems</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[Yes / no]</w:t>
            </w:r>
          </w:p>
        </w:tc>
        <w:tc>
          <w:tcPr>
            <w:tcW w:type="dxa" w:w="63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[Least-privilege access, privacy notice, confidentiality, monitoring, return/deletion]</w:t>
            </w:r>
          </w:p>
        </w:tc>
      </w:tr>
      <w:tr>
        <w:trPr>
          <w:cantSplit/>
        </w:trPr>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Photos / recordings / publicity</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[Yes / no]</w:t>
            </w:r>
          </w:p>
        </w:tc>
        <w:tc>
          <w:tcPr>
            <w:tcW w:type="dxa" w:w="63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[Separate informed media release and withdrawal process]</w:t>
            </w:r>
          </w:p>
        </w:tc>
      </w:tr>
      <w:tr>
        <w:trPr>
          <w:cantSplit/>
        </w:trPr>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Volunteer-created materials / IP</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[Yes / no]</w:t>
            </w:r>
          </w:p>
        </w:tc>
        <w:tc>
          <w:tcPr>
            <w:tcW w:type="dxa" w:w="63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[Ownership, license, attribution, confidentiality, open-source, and pre-existing materials]</w:t>
            </w:r>
          </w:p>
        </w:tc>
      </w:tr>
      <w:tr>
        <w:trPr>
          <w:cantSplit/>
        </w:trPr>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International / cross-border service</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[Yes / no]</w:t>
            </w:r>
          </w:p>
        </w:tc>
        <w:tc>
          <w:tcPr>
            <w:tcW w:type="dxa" w:w="63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[Immigration, tax, insurance, sanctions, data transfer, travel, and local law]</w:t>
            </w:r>
          </w:p>
        </w:tc>
      </w:tr>
      <w:tr>
        <w:trPr>
          <w:cantSplit/>
        </w:trPr>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Payment beyond reimbursement</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[Yes / no]</w:t>
            </w:r>
          </w:p>
        </w:tc>
        <w:tc>
          <w:tcPr>
            <w:tcW w:type="dxa" w:w="63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[Employment, stipend, tax, benefit, minimum-wage, and classification review]</w:t>
            </w:r>
          </w:p>
        </w:tc>
      </w:tr>
    </w:tbl>
    <w:p>
      <w:r>
        <w:br w:type="page"/>
      </w:r>
    </w:p>
    <w:p>
      <w:pPr>
        <w:pStyle w:val="Heading1"/>
        <w:keepNext/>
      </w:pPr>
      <w:r>
        <w:t>Volunteer Service Agreement</w:t>
      </w:r>
    </w:p>
    <w:p>
      <w:pPr>
        <w:spacing w:after="140"/>
      </w:pPr>
      <w:r>
        <w:rPr>
          <w:color w:val="1D6F5F"/>
        </w:rPr>
        <w:t>This Volunteer Service Agreement is between [organization] and [volunteer] and is effective on [date]. It incorporates the attached role description and the policies listed in this agreement.</w:t>
      </w:r>
    </w:p>
    <w:p>
      <w:pPr>
        <w:pStyle w:val="Heading2"/>
        <w:keepNext/>
      </w:pPr>
      <w:r>
        <w:t>1. Purpose and role</w:t>
      </w:r>
    </w:p>
    <w:p>
      <w:pPr>
        <w:spacing w:after="140"/>
      </w:pPr>
      <w:r>
        <w:rPr>
          <w:color w:val="1D6F5F"/>
        </w:rPr>
        <w:t>The volunteer will support [mission / program] in the role of [role title]. The role’s purpose is [purpose]. Expected responsibilities are [responsibilities], subject to training, supervision, safety limits, and written changes agreed through [process].</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Primary responsibilities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[Specific tasks and boundaries]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Not authorized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[Activities, commitments, spending, advice, representation, access, or decisions outside the role]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Supervisor and check-in</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[Who directs the work, check-in frequency, and backup contact]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Schedule and notice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[Expected schedule, how availability is communicated, and absence/cancellation notice]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Performance / learning goals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[Orientation, training, competencies, feedback, and review point]</w:t>
            </w:r>
          </w:p>
        </w:tc>
      </w:tr>
    </w:tbl>
    <w:p>
      <w:pPr>
        <w:pStyle w:val="Heading2"/>
        <w:keepNext/>
      </w:pPr>
      <w:r>
        <w:t>2. Volunteer relationship and expenses</w:t>
      </w:r>
    </w:p>
    <w:p>
      <w:pPr>
        <w:spacing w:after="140"/>
      </w:pPr>
      <w:r>
        <w:t>The parties intend this to be a volunteer service relationship. The volunteer does not expect wages for the service described here. This agreement does not promise employment, a fixed duration, guaranteed hours, or any benefit not expressly stated in writing and legally permitted.</w:t>
      </w:r>
    </w:p>
    <w:p>
      <w:pPr>
        <w:spacing w:after="140"/>
      </w:pPr>
      <w:r>
        <w:rPr>
          <w:color w:val="1D6F5F"/>
        </w:rPr>
        <w:t>Approved expenses: [Describe eligible expenses, preapproval, receipts, limits, mileage/travel rules, payment timing, and non-reimbursable items]. The volunteer should not incur an expense or make a purchase on the organization’s behalf without [authorization].</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14515E"/>
            <w:tcMar>
              <w:top w:w="40" w:type="dxa"/>
              <w:start w:w="20" w:type="dxa"/>
              <w:bottom w:w="40" w:type="dxa"/>
              <w:end w:w="20" w:type="dxa"/>
            </w:tcMar>
            <w:tcBorders>
              <w:top w:val="nil"/>
              <w:left w:val="nil"/>
              <w:bottom w:val="nil"/>
              <w:right w:val="nil"/>
            </w:tcBorders>
          </w:tcPr>
          <w:p>
            <w:r/>
          </w:p>
        </w:tc>
        <w:tc>
          <w:tcPr>
            <w:tcW w:type="dxa" w:w="5083"/>
            <w:shd w:fill="F7F5EF"/>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Classification review</w:t>
            </w:r>
          </w:p>
          <w:p>
            <w:pPr>
              <w:spacing w:after="0"/>
            </w:pPr>
            <w:r>
              <w:t>Titles do not determine legal status. If the role resembles paid work, includes required hours or substantial control, provides payment or benefits, replaces employees, or is performed in a commercial setting, pause and obtain jurisdiction-specific legal review.</w:t>
            </w:r>
          </w:p>
        </w:tc>
      </w:tr>
    </w:tbl>
    <w:p>
      <w:pPr>
        <w:spacing w:after="0"/>
      </w:pPr>
    </w:p>
    <w:p>
      <w:pPr>
        <w:pStyle w:val="Heading2"/>
        <w:keepNext/>
      </w:pPr>
      <w:r>
        <w:t>3. Conduct, boundaries, and safeguarding</w:t>
      </w:r>
    </w:p>
    <w:p>
      <w:pPr>
        <w:spacing w:after="140"/>
      </w:pPr>
      <w:r>
        <w:rPr>
          <w:color w:val="1D6F5F"/>
        </w:rPr>
        <w:t>The volunteer agrees to follow [code of conduct, anti-harassment, nondiscrimination, safeguarding, boundaries, accessibility, conflict-of-interest, substance-use, weapons, and social-media policies] as provided and updated through the organization’s approved process.</w:t>
      </w:r>
    </w:p>
    <w:p>
      <w:pPr>
        <w:spacing w:after="140"/>
      </w:pPr>
      <w:r>
        <w:rPr>
          <w:color w:val="1D6F5F"/>
        </w:rPr>
        <w:t>The volunteer will not [be alone with protected persons / exchange personal contact information / transport participants / handle funds / give professional advice / use organizational identity publicly] except as specifically authorized, trained, and supervised.</w:t>
      </w:r>
    </w:p>
    <w:p>
      <w:pPr>
        <w:spacing w:after="140"/>
      </w:pPr>
      <w:r>
        <w:rPr>
          <w:color w:val="1D6F5F"/>
        </w:rPr>
        <w:t>Concerns, boundary violations, suspected abuse, discrimination, harassment, retaliation, fraud, safety incidents, or policy violations must be reported promptly to [primary contact] or [independent / alternate route], including emergency escalation to [process].</w:t>
      </w:r>
    </w:p>
    <w:p>
      <w:pPr>
        <w:pStyle w:val="Heading2"/>
        <w:keepNext/>
      </w:pPr>
      <w:r>
        <w:t>4. Safety, accessibility, and incidents</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Known role conditions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[Environment, lifting, travel, weather, equipment, screen time, public contact, or other demands]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Training and safeguards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[Orientation, supervision, PPE, two-person rule, check-in, ergonomic or accessibility support]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Accommodation process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[How the volunteer can request a reasonable change or discuss an access need]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Emergency process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[Immediate emergency number / site procedure / emergency contact handling]</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Incident reporting</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[Who, how, by when, evidence preservation, privacy, and non-retaliation route]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Stop-work authority</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[Conditions under which the volunteer must pause and contact the supervisor]</w:t>
            </w:r>
          </w:p>
        </w:tc>
      </w:tr>
    </w:tbl>
    <w:p>
      <w:pPr>
        <w:pStyle w:val="Heading2"/>
        <w:keepNext/>
      </w:pPr>
      <w:r>
        <w:t>5. Confidentiality, privacy, and records</w:t>
      </w:r>
    </w:p>
    <w:p>
      <w:pPr>
        <w:spacing w:after="140"/>
      </w:pPr>
      <w:r>
        <w:rPr>
          <w:color w:val="1D6F5F"/>
        </w:rPr>
        <w:t>The volunteer may access [categories of information] only as needed for the role and only through approved systems, devices, locations, and sharing methods. The volunteer will follow [privacy, confidentiality, records, security, and acceptable-use policies].</w:t>
      </w:r>
    </w:p>
    <w:p>
      <w:pPr>
        <w:spacing w:after="140"/>
      </w:pPr>
      <w:r>
        <w:rPr>
          <w:color w:val="1D6F5F"/>
        </w:rPr>
        <w:t>The volunteer will not retain, copy, post, discuss, or disclose protected organizational, donor, employee, client, participant, partner, or system information except as authorized. Suspected loss, misdirection, unauthorized access, or disclosure must be reported immediately through [incident process].</w:t>
      </w:r>
    </w:p>
    <w:p>
      <w:pPr>
        <w:spacing w:after="140"/>
      </w:pPr>
      <w:r>
        <w:t>At the end of access or service, the volunteer will return organizational records and property and follow the organization’s approved deletion, transfer, or account-closeout process. Any confidentiality obligation after service must be reviewed for applicable law and stated scope.</w:t>
      </w:r>
    </w:p>
    <w:p>
      <w:r>
        <w:br w:type="page"/>
      </w:r>
    </w:p>
    <w:p>
      <w:pPr>
        <w:pStyle w:val="Heading2"/>
        <w:keepNext/>
      </w:pPr>
      <w:r>
        <w:t>6. Property, technology, and public representation</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Organization property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[Keys, badge, equipment, card, records, uniforms, supplies, or funds issued; return condition and date]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Accounts and systems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[Approved account, MFA, password, device, monitoring notice, access limits, and offboarding]</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Public statements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[Who may speak for the organization, media/social rules, and approval path]</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Use of name / logo</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[Approved use only; no implied endorsement, fundraising, contracting, or political activity]</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Volunteer-created materials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[Describe intended use and route to counsel-approved IP or license language if needed]</w:t>
            </w:r>
          </w:p>
        </w:tc>
      </w:tr>
    </w:tbl>
    <w:p>
      <w:pPr>
        <w:pStyle w:val="Heading2"/>
        <w:keepNext/>
      </w:pPr>
      <w:r>
        <w:t>7. Conflicts, gifts, and financial controls</w:t>
      </w:r>
    </w:p>
    <w:p>
      <w:pPr>
        <w:spacing w:after="140"/>
      </w:pPr>
      <w:r>
        <w:rPr>
          <w:color w:val="1D6F5F"/>
        </w:rPr>
        <w:t>The volunteer will disclose an actual or potential conflict involving [financial interest, family/personal relationship, vendor, client, competing duty, gift, or confidential information] to [role] and follow the organization’s recusal or management decision.</w:t>
      </w:r>
    </w:p>
    <w:p>
      <w:pPr>
        <w:spacing w:after="140"/>
      </w:pPr>
      <w:r>
        <w:t>The volunteer may not sign a contract, commit funds, collect or disburse money, solicit donations, accept a gift, approve an expense, or represent that the organization has agreed to an obligation unless expressly authorized in writing.</w:t>
      </w:r>
    </w:p>
    <w:p>
      <w:pPr>
        <w:pStyle w:val="Heading2"/>
        <w:keepNext/>
      </w:pPr>
      <w:r>
        <w:t>8. Feedback, concerns, and ending service</w:t>
      </w:r>
    </w:p>
    <w:p>
      <w:pPr>
        <w:spacing w:after="140"/>
      </w:pPr>
      <w:r>
        <w:rPr>
          <w:color w:val="1D6F5F"/>
        </w:rPr>
        <w:t>The volunteer may raise a question, concern, access need, complaint, or report through [supervisor] or [alternate confidential route]. The organization will address reports under [policy], including applicable non-retaliation and safeguarding procedures.</w:t>
      </w:r>
    </w:p>
    <w:p>
      <w:pPr>
        <w:spacing w:after="140"/>
      </w:pPr>
      <w:r>
        <w:rPr>
          <w:color w:val="1D6F5F"/>
        </w:rPr>
        <w:t>Either party may end the volunteer service relationship through [notice process], subject to immediate suspension or ending where safety, safeguarding, confidentiality, misconduct, access, or legal risk requires it. On ending service, [property, records, accounts, communications, handoff, and final expense] steps apply.</w:t>
      </w:r>
    </w:p>
    <w:p>
      <w:pPr>
        <w:spacing w:after="140"/>
      </w:pPr>
      <w:r>
        <w:t>The organization may change assignments, supervision, schedule, access, or policy when program needs, safety, funding, law, or risk controls change. Material changes should be documented and communicated.</w:t>
      </w:r>
    </w:p>
    <w:p>
      <w:r>
        <w:br w:type="page"/>
      </w:r>
    </w:p>
    <w:p>
      <w:pPr>
        <w:pStyle w:val="Heading2"/>
        <w:keepNext/>
      </w:pPr>
      <w:r>
        <w:t>9. Acknowledgements and separate documents</w:t>
      </w:r>
    </w:p>
    <w:p>
      <w:pPr>
        <w:pStyle w:val="ListBullet"/>
        <w:spacing w:after="60"/>
      </w:pPr>
      <w:r>
        <w:t>The volunteer received the role description and the policies listed in this agreement.</w:t>
      </w:r>
    </w:p>
    <w:p>
      <w:pPr>
        <w:pStyle w:val="ListBullet"/>
        <w:spacing w:after="60"/>
      </w:pPr>
      <w:r>
        <w:t>The volunteer had an opportunity to ask questions and identify access or training needs.</w:t>
      </w:r>
    </w:p>
    <w:p>
      <w:pPr>
        <w:pStyle w:val="ListBullet"/>
        <w:spacing w:after="60"/>
      </w:pPr>
      <w:r>
        <w:t>The volunteer understands who supervises the role, what is not authorized, and how to report concerns or incidents.</w:t>
      </w:r>
    </w:p>
    <w:p>
      <w:pPr>
        <w:pStyle w:val="ListBullet"/>
        <w:spacing w:after="60"/>
      </w:pPr>
      <w:r>
        <w:t>Any background-check consent, guardian consent, media release, waiver/release, confidentiality addendum, IP agreement, driving authorization, medical authorization, or dispute provision is contained in a separately reviewed document identified below—not implied by this checklist.</w:t>
      </w:r>
    </w:p>
    <w:tbl>
      <w:tblPr>
        <w:tblW w:type="auto" w:w="0"/>
        <w:jc w:val="center"/>
        <w:tblLayout w:type="fixed"/>
        <w:tblLook w:firstColumn="1" w:firstRow="1" w:lastColumn="0" w:lastRow="0" w:noHBand="0" w:noVBand="1" w:val="04A0"/>
      </w:tblPr>
      <w:tblGrid>
        <w:gridCol w:w="2520"/>
        <w:gridCol w:w="1512"/>
        <w:gridCol w:w="1584"/>
        <w:gridCol w:w="2592"/>
        <w:gridCol w:w="1728"/>
      </w:tblGrid>
      <w:tr>
        <w:trPr>
          <w:tblHeader w:val="true"/>
        </w:trPr>
        <w:tc>
          <w:tcPr>
            <w:tcW w:type="dxa" w:w="2520"/>
            <w:shd w:fill="0A222D"/>
            <w:tcMar>
              <w:top w:w="100" w:type="dxa"/>
              <w:start w:w="120" w:type="dxa"/>
              <w:bottom w:w="100" w:type="dxa"/>
              <w:end w:w="120" w:type="dxa"/>
            </w:tcMar>
          </w:tcPr>
          <w:p>
            <w:r>
              <w:rPr>
                <w:b/>
                <w:color w:val="FFFFFF"/>
                <w:sz w:val="18"/>
              </w:rPr>
              <w:t>Document</w:t>
            </w:r>
          </w:p>
        </w:tc>
        <w:tc>
          <w:tcPr>
            <w:tcW w:type="dxa" w:w="1512"/>
            <w:shd w:fill="0A222D"/>
            <w:tcMar>
              <w:top w:w="100" w:type="dxa"/>
              <w:start w:w="120" w:type="dxa"/>
              <w:bottom w:w="100" w:type="dxa"/>
              <w:end w:w="120" w:type="dxa"/>
            </w:tcMar>
          </w:tcPr>
          <w:p>
            <w:r>
              <w:rPr>
                <w:b/>
                <w:color w:val="FFFFFF"/>
                <w:sz w:val="18"/>
              </w:rPr>
              <w:t>Version</w:t>
            </w:r>
          </w:p>
        </w:tc>
        <w:tc>
          <w:tcPr>
            <w:tcW w:type="dxa" w:w="1584"/>
            <w:shd w:fill="0A222D"/>
            <w:tcMar>
              <w:top w:w="100" w:type="dxa"/>
              <w:start w:w="120" w:type="dxa"/>
              <w:bottom w:w="100" w:type="dxa"/>
              <w:end w:w="120" w:type="dxa"/>
            </w:tcMar>
          </w:tcPr>
          <w:p>
            <w:r>
              <w:rPr>
                <w:b/>
                <w:color w:val="FFFFFF"/>
                <w:sz w:val="18"/>
              </w:rPr>
              <w:t>Status</w:t>
            </w:r>
          </w:p>
        </w:tc>
        <w:tc>
          <w:tcPr>
            <w:tcW w:type="dxa" w:w="2592"/>
            <w:shd w:fill="0A222D"/>
            <w:tcMar>
              <w:top w:w="100" w:type="dxa"/>
              <w:start w:w="120" w:type="dxa"/>
              <w:bottom w:w="100" w:type="dxa"/>
              <w:end w:w="120" w:type="dxa"/>
            </w:tcMar>
          </w:tcPr>
          <w:p>
            <w:r>
              <w:rPr>
                <w:b/>
                <w:color w:val="FFFFFF"/>
                <w:sz w:val="18"/>
              </w:rPr>
              <w:t>Approval / owner</w:t>
            </w:r>
          </w:p>
        </w:tc>
        <w:tc>
          <w:tcPr>
            <w:tcW w:type="dxa" w:w="1728"/>
            <w:shd w:fill="0A222D"/>
            <w:tcMar>
              <w:top w:w="100" w:type="dxa"/>
              <w:start w:w="120" w:type="dxa"/>
              <w:bottom w:w="100" w:type="dxa"/>
              <w:end w:w="120" w:type="dxa"/>
            </w:tcMar>
          </w:tcPr>
          <w:p>
            <w:r>
              <w:rPr>
                <w:b/>
                <w:color w:val="FFFFFF"/>
                <w:sz w:val="18"/>
              </w:rPr>
              <w:t>Record</w:t>
            </w:r>
          </w:p>
        </w:tc>
      </w:tr>
      <w:tr>
        <w:trPr>
          <w:cantSplit/>
        </w:trPr>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[Document / policy]</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[Version / date]</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[Provided / signed]</w:t>
            </w:r>
          </w:p>
        </w:tc>
        <w:tc>
          <w:tcPr>
            <w:tcW w:type="dxa" w:w="25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[Separate counsel approval or policy owner]</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[Storage location]</w:t>
            </w:r>
          </w:p>
        </w:tc>
      </w:tr>
      <w:tr>
        <w:trPr>
          <w:cantSplit/>
        </w:trPr>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[Role description]</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5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[Code of conduct]</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25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[Safeguarding / safety policy]</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5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[Privacy / confidentiality notice]</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25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[Other approved form]</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5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p>
      <w:pPr>
        <w:pStyle w:val="Heading1"/>
        <w:keepNext/>
      </w:pPr>
      <w:r>
        <w:t>Signatures</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Volunteer</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[Name]</w:t>
              <w:br/>
              <w:t>[Signature]</w:t>
              <w:br/>
              <w:t>[Date]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Organization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[Authorized representative name and title]</w:t>
              <w:br/>
              <w:t>[Signature]</w:t>
              <w:br/>
              <w:t>[Date]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Parent / guardian — if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[Name, relationship, signature, and date; use counsel-approved youth consent materials]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Legal / policy approval record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[Reviewer, jurisdiction, approved version, and date]</w:t>
            </w:r>
          </w:p>
        </w:tc>
      </w:tr>
    </w:tbl>
    <w:p>
      <w:pPr>
        <w:pStyle w:val="Heading1"/>
        <w:keepNext/>
      </w:pPr>
      <w:r>
        <w:t>Pre-use review checklist</w:t>
      </w:r>
    </w:p>
    <w:p>
      <w:pPr>
        <w:pStyle w:val="ListBullet"/>
        <w:spacing w:after="60"/>
      </w:pPr>
      <w:r>
        <w:t>The completed agreement matches the real role, level of control, schedule, benefits, and payment/reimbursement practice.</w:t>
      </w:r>
    </w:p>
    <w:p>
      <w:pPr>
        <w:pStyle w:val="ListBullet"/>
        <w:spacing w:after="60"/>
      </w:pPr>
      <w:r>
        <w:t>A qualified attorney reviewed the document for the applicable jurisdiction and activity.</w:t>
      </w:r>
    </w:p>
    <w:p>
      <w:pPr>
        <w:pStyle w:val="ListBullet"/>
        <w:spacing w:after="60"/>
      </w:pPr>
      <w:r>
        <w:t>Youth, safeguarding, background check, driving, fieldwork, health/safety, data, and regulated-service requirements are addressed.</w:t>
      </w:r>
    </w:p>
    <w:p>
      <w:pPr>
        <w:pStyle w:val="ListBullet"/>
        <w:spacing w:after="60"/>
      </w:pPr>
      <w:r>
        <w:t>Higher-risk provisions use separate approved forms rather than improvised clauses.</w:t>
      </w:r>
    </w:p>
    <w:p>
      <w:pPr>
        <w:pStyle w:val="ListBullet"/>
        <w:spacing w:after="60"/>
      </w:pPr>
      <w:r>
        <w:t>The volunteer received the referenced policies, training, incident routes, and accommodation process.</w:t>
      </w:r>
    </w:p>
    <w:p>
      <w:pPr>
        <w:pStyle w:val="ListBullet"/>
        <w:spacing w:after="60"/>
      </w:pPr>
      <w:r>
        <w:t>Access is limited to what the role needs, and offboarding steps are ready before access is granted.</w:t>
      </w:r>
    </w:p>
    <w:p>
      <w:pPr>
        <w:pStyle w:val="ListBullet"/>
        <w:spacing w:after="60"/>
      </w:pPr>
      <w:r>
        <w:t>The signed agreement and related records are stored under an approved privacy and retention process.</w:t>
      </w:r>
    </w:p>
    <w:p>
      <w:pPr>
        <w:pStyle w:val="ListBullet"/>
        <w:spacing w:after="60"/>
      </w:pPr>
      <w:r>
        <w:t>The organization has named who can answer questions and who can receive concerns outside the supervisory chain.</w:t>
      </w:r>
    </w:p>
    <w:p>
      <w:pPr>
        <w:spacing w:before="80" w:after="0"/>
      </w:pPr>
      <w:r>
        <w:rPr>
          <w:rFonts w:ascii="Aptos" w:hAnsi="Aptos"/>
          <w:color w:val="5A6770"/>
          <w:sz w:val="15"/>
        </w:rPr>
        <w:t>Use note: Draft for attorney review. This document does not determine legal volunteer status or waive rights, liability, insurance, employment, privacy, safety, safeguarding, tax, or other requirements. Adapt only with qualified jurisdiction-specific review.</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6770"/>
        <w:sz w:val="16"/>
      </w:rPr>
      <w:t xml:space="preserve">Volunteer Agreement Template  •  salishseaconsulting.com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BB7A3"/>
        <w:sz w:val="16"/>
      </w:rPr>
      <w:t>SALISH SEA CONSULTING  /  TEMPLATE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411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A222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14515E"/>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b/>
      <w:bCs/>
      <w:color w:val="1D6F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A222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40"/>
    </w:pPr>
    <w:rPr>
      <w:rFonts w:ascii="Aptos" w:hAnsi="Aptos"/>
      <w:b/>
      <w:color w:val="2BB7A3"/>
      <w:sz w:val="17"/>
    </w:rPr>
  </w:style>
  <w:style w:type="character" w:customStyle="1" w:styleId="Placeholder">
    <w:name w:val="Placeholder"/>
    <w:rPr>
      <w:rFonts w:ascii="Aptos" w:hAnsi="Aptos"/>
      <w:i/>
      <w:color w:val="1D6F5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 Agreement Template</dc:title>
  <dc:subject>Attorney-review volunteer service agreement and operational safeguards template.</dc:subject>
  <dc:creator>Salish Sea Consulting</dc:creator>
  <cp:keywords>Salish Sea Consulting, editable template, nonprofit, grants, operations</cp:keywords>
  <dc:description>SSC Template Library Release 2 — Version 1.0.</dc:description>
  <cp:lastModifiedBy>Salish Sea Consulting</cp:lastModifiedBy>
  <cp:revision>1</cp:revision>
  <dcterms:created xsi:type="dcterms:W3CDTF">2026-08-31T21:57:32Z</dcterms:created>
  <dcterms:modified xsi:type="dcterms:W3CDTF">2026-08-31T21:57:32Z</dcterms:modified>
  <cp:category/>
</cp:coreProperties>
</file>